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52070</wp:posOffset>
            </wp:positionV>
            <wp:extent cx="822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-95885</wp:posOffset>
            </wp:positionV>
            <wp:extent cx="822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30"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402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auto"/>
                <w:w w:val="90"/>
              </w:rPr>
              <w:t>to</w:t>
            </w:r>
          </w:p>
        </w:tc>
        <w:tc>
          <w:tcPr>
            <w:tcW w:w="580" w:type="dxa"/>
            <w:vAlign w:val="bottom"/>
            <w:tcBorders>
              <w:bottom w:val="single" w:sz="8" w:color="auto"/>
            </w:tcBorders>
          </w:tcPr>
          <w:p>
            <w:pPr>
              <w:spacing w:after="0"/>
              <w:rPr>
                <w:sz w:val="14"/>
                <w:szCs w:val="14"/>
                <w:color w:val="auto"/>
              </w:rPr>
            </w:pPr>
          </w:p>
        </w:tc>
      </w:tr>
      <w:tr>
        <w:trPr>
          <w:trHeight w:val="184"/>
        </w:trPr>
        <w:tc>
          <w:tcPr>
            <w:tcW w:w="3200" w:type="dxa"/>
            <w:vAlign w:val="bottom"/>
            <w:gridSpan w:val="4"/>
          </w:tcPr>
          <w:p>
            <w:pPr>
              <w:ind w:left="480"/>
              <w:spacing w:after="0"/>
              <w:rPr>
                <w:sz w:val="20"/>
                <w:szCs w:val="20"/>
                <w:color w:val="auto"/>
              </w:rPr>
            </w:pPr>
            <w:r>
              <w:rPr>
                <w:rFonts w:ascii="Arial" w:cs="Arial" w:eastAsia="Arial" w:hAnsi="Arial"/>
                <w:sz w:val="14"/>
                <w:szCs w:val="14"/>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33655</wp:posOffset>
            </wp:positionV>
            <wp:extent cx="8229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471"/>
        </w:trPr>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4"/>
          </w:tcPr>
          <w:p>
            <w:pPr>
              <w:jc w:val="center"/>
              <w:ind w:right="28"/>
              <w:spacing w:after="0"/>
              <w:rPr>
                <w:sz w:val="20"/>
                <w:szCs w:val="20"/>
                <w:color w:val="auto"/>
              </w:rPr>
            </w:pPr>
            <w:r>
              <w:rPr>
                <w:rFonts w:ascii="Arial" w:cs="Arial" w:eastAsia="Arial" w:hAnsi="Arial"/>
                <w:sz w:val="40"/>
                <w:szCs w:val="40"/>
                <w:b w:val="1"/>
                <w:bCs w:val="1"/>
                <w:color w:val="auto"/>
                <w:w w:val="98"/>
              </w:rPr>
              <w:t>AVROBIO, INC.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vMerge w:val="restart"/>
          </w:tcPr>
          <w:p>
            <w:pPr>
              <w:jc w:val="center"/>
              <w:ind w:left="1788"/>
              <w:spacing w:after="0"/>
              <w:rPr>
                <w:sz w:val="20"/>
                <w:szCs w:val="20"/>
                <w:color w:val="auto"/>
              </w:rPr>
            </w:pPr>
            <w:r>
              <w:rPr>
                <w:rFonts w:ascii="Arial" w:cs="Arial" w:eastAsia="Arial" w:hAnsi="Arial"/>
                <w:sz w:val="14"/>
                <w:szCs w:val="14"/>
                <w:b w:val="1"/>
                <w:bCs w:val="1"/>
                <w:color w:val="auto"/>
                <w:w w:val="94"/>
              </w:rPr>
              <w:t>Delaware</w:t>
            </w: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780" w:type="dxa"/>
            <w:vAlign w:val="bottom"/>
            <w:gridSpan w:val="3"/>
            <w:vMerge w:val="restart"/>
          </w:tcPr>
          <w:p>
            <w:pPr>
              <w:jc w:val="right"/>
              <w:ind w:right="2388"/>
              <w:spacing w:after="0"/>
              <w:rPr>
                <w:sz w:val="20"/>
                <w:szCs w:val="20"/>
                <w:color w:val="auto"/>
              </w:rPr>
            </w:pPr>
            <w:r>
              <w:rPr>
                <w:rFonts w:ascii="Arial" w:cs="Arial" w:eastAsia="Arial" w:hAnsi="Arial"/>
                <w:sz w:val="14"/>
                <w:szCs w:val="14"/>
                <w:b w:val="1"/>
                <w:bCs w:val="1"/>
                <w:color w:val="auto"/>
              </w:rPr>
              <w:t>81-0710585</w:t>
            </w:r>
          </w:p>
        </w:tc>
        <w:tc>
          <w:tcPr>
            <w:tcW w:w="0" w:type="dxa"/>
            <w:vAlign w:val="bottom"/>
          </w:tcPr>
          <w:p>
            <w:pPr>
              <w:spacing w:after="0"/>
              <w:rPr>
                <w:sz w:val="1"/>
                <w:szCs w:val="1"/>
                <w:color w:val="auto"/>
              </w:rPr>
            </w:pPr>
          </w:p>
        </w:tc>
      </w:tr>
      <w:tr>
        <w:trPr>
          <w:trHeight w:val="160"/>
        </w:trPr>
        <w:tc>
          <w:tcPr>
            <w:tcW w:w="3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7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Pr>
          <w:p>
            <w:pPr>
              <w:jc w:val="center"/>
              <w:ind w:left="180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tcPr>
          <w:p>
            <w:pPr>
              <w:jc w:val="center"/>
              <w:ind w:right="192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760" w:type="dxa"/>
            <w:vAlign w:val="bottom"/>
          </w:tcPr>
          <w:p>
            <w:pPr>
              <w:jc w:val="center"/>
              <w:ind w:left="1808"/>
              <w:spacing w:after="0"/>
              <w:rPr>
                <w:sz w:val="20"/>
                <w:szCs w:val="20"/>
                <w:color w:val="auto"/>
              </w:rPr>
            </w:pPr>
            <w:r>
              <w:rPr>
                <w:rFonts w:ascii="Arial" w:cs="Arial" w:eastAsia="Arial" w:hAnsi="Arial"/>
                <w:sz w:val="14"/>
                <w:szCs w:val="14"/>
                <w:b w:val="1"/>
                <w:bCs w:val="1"/>
                <w:color w:val="auto"/>
                <w:w w:val="94"/>
              </w:rPr>
              <w:t>incorporation or organization)</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jc w:val="center"/>
              <w:ind w:right="194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65"/>
        </w:trPr>
        <w:tc>
          <w:tcPr>
            <w:tcW w:w="3760" w:type="dxa"/>
            <w:vAlign w:val="bottom"/>
          </w:tcPr>
          <w:p>
            <w:pPr>
              <w:jc w:val="center"/>
              <w:ind w:left="1788"/>
              <w:spacing w:after="0"/>
              <w:rPr>
                <w:sz w:val="20"/>
                <w:szCs w:val="20"/>
                <w:color w:val="auto"/>
              </w:rPr>
            </w:pPr>
            <w:r>
              <w:rPr>
                <w:rFonts w:ascii="Arial" w:cs="Arial" w:eastAsia="Arial" w:hAnsi="Arial"/>
                <w:sz w:val="14"/>
                <w:szCs w:val="14"/>
                <w:b w:val="1"/>
                <w:bCs w:val="1"/>
                <w:color w:val="auto"/>
                <w:w w:val="94"/>
              </w:rPr>
              <w:t>One Kendall Square</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Pr>
          <w:p>
            <w:pPr>
              <w:jc w:val="center"/>
              <w:ind w:left="1788"/>
              <w:spacing w:after="0"/>
              <w:rPr>
                <w:sz w:val="20"/>
                <w:szCs w:val="20"/>
                <w:color w:val="auto"/>
              </w:rPr>
            </w:pPr>
            <w:r>
              <w:rPr>
                <w:rFonts w:ascii="Arial" w:cs="Arial" w:eastAsia="Arial" w:hAnsi="Arial"/>
                <w:sz w:val="14"/>
                <w:szCs w:val="14"/>
                <w:b w:val="1"/>
                <w:bCs w:val="1"/>
                <w:color w:val="auto"/>
                <w:w w:val="93"/>
              </w:rPr>
              <w:t>Building 300, Suite 201</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jc w:val="center"/>
              <w:ind w:left="1788"/>
              <w:spacing w:after="0" w:line="149" w:lineRule="exact"/>
              <w:rPr>
                <w:sz w:val="20"/>
                <w:szCs w:val="20"/>
                <w:color w:val="auto"/>
              </w:rPr>
            </w:pPr>
            <w:r>
              <w:rPr>
                <w:rFonts w:ascii="Arial" w:cs="Arial" w:eastAsia="Arial" w:hAnsi="Arial"/>
                <w:sz w:val="14"/>
                <w:szCs w:val="14"/>
                <w:b w:val="1"/>
                <w:bCs w:val="1"/>
                <w:color w:val="auto"/>
                <w:w w:val="91"/>
              </w:rPr>
              <w:t>Cambridge, Massachusetts</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780" w:type="dxa"/>
            <w:vAlign w:val="bottom"/>
            <w:gridSpan w:val="3"/>
          </w:tcPr>
          <w:p>
            <w:pPr>
              <w:jc w:val="right"/>
              <w:ind w:right="2548"/>
              <w:spacing w:after="0" w:line="149" w:lineRule="exact"/>
              <w:rPr>
                <w:sz w:val="20"/>
                <w:szCs w:val="20"/>
                <w:color w:val="auto"/>
              </w:rPr>
            </w:pPr>
            <w:r>
              <w:rPr>
                <w:rFonts w:ascii="Arial" w:cs="Arial" w:eastAsia="Arial" w:hAnsi="Arial"/>
                <w:sz w:val="14"/>
                <w:szCs w:val="14"/>
                <w:b w:val="1"/>
                <w:bCs w:val="1"/>
                <w:color w:val="auto"/>
              </w:rPr>
              <w:t>02139</w:t>
            </w:r>
          </w:p>
        </w:tc>
        <w:tc>
          <w:tcPr>
            <w:tcW w:w="0" w:type="dxa"/>
            <w:vAlign w:val="bottom"/>
          </w:tcPr>
          <w:p>
            <w:pPr>
              <w:spacing w:after="0"/>
              <w:rPr>
                <w:sz w:val="1"/>
                <w:szCs w:val="1"/>
                <w:color w:val="auto"/>
              </w:rPr>
            </w:pPr>
          </w:p>
        </w:tc>
      </w:tr>
      <w:tr>
        <w:trPr>
          <w:trHeight w:val="186"/>
        </w:trPr>
        <w:tc>
          <w:tcPr>
            <w:tcW w:w="6900" w:type="dxa"/>
            <w:vAlign w:val="bottom"/>
            <w:gridSpan w:val="5"/>
          </w:tcPr>
          <w:p>
            <w:pPr>
              <w:jc w:val="center"/>
              <w:ind w:right="12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jc w:val="center"/>
              <w:ind w:right="19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51"/>
        </w:trPr>
        <w:tc>
          <w:tcPr>
            <w:tcW w:w="3760" w:type="dxa"/>
            <w:vAlign w:val="bottom"/>
          </w:tcPr>
          <w:p>
            <w:pPr>
              <w:spacing w:after="0"/>
              <w:rPr>
                <w:sz w:val="13"/>
                <w:szCs w:val="13"/>
                <w:color w:val="auto"/>
              </w:rPr>
            </w:pPr>
          </w:p>
        </w:tc>
        <w:tc>
          <w:tcPr>
            <w:tcW w:w="2520" w:type="dxa"/>
            <w:vAlign w:val="bottom"/>
            <w:gridSpan w:val="3"/>
          </w:tcPr>
          <w:p>
            <w:pPr>
              <w:jc w:val="center"/>
              <w:ind w:left="1148"/>
              <w:spacing w:after="0" w:line="151" w:lineRule="exact"/>
              <w:rPr>
                <w:sz w:val="20"/>
                <w:szCs w:val="20"/>
                <w:color w:val="auto"/>
              </w:rPr>
            </w:pPr>
            <w:r>
              <w:rPr>
                <w:rFonts w:ascii="Arial" w:cs="Arial" w:eastAsia="Arial" w:hAnsi="Arial"/>
                <w:sz w:val="14"/>
                <w:szCs w:val="14"/>
                <w:b w:val="1"/>
                <w:bCs w:val="1"/>
                <w:color w:val="auto"/>
                <w:w w:val="93"/>
              </w:rPr>
              <w:t>(617) 914-8420</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3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4"/>
              </w:rPr>
              <w:t>Trading Symbol</w:t>
            </w: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60"/>
        </w:trPr>
        <w:tc>
          <w:tcPr>
            <w:tcW w:w="37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Common Stock, $0.0001 par value per share</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20" w:type="dxa"/>
            <w:vAlign w:val="bottom"/>
            <w:gridSpan w:val="2"/>
          </w:tcPr>
          <w:p>
            <w:pPr>
              <w:jc w:val="center"/>
              <w:ind w:right="480"/>
              <w:spacing w:after="0" w:line="160" w:lineRule="exact"/>
              <w:rPr>
                <w:sz w:val="20"/>
                <w:szCs w:val="20"/>
                <w:color w:val="auto"/>
              </w:rPr>
            </w:pPr>
            <w:r>
              <w:rPr>
                <w:rFonts w:ascii="Arial" w:cs="Arial" w:eastAsia="Arial" w:hAnsi="Arial"/>
                <w:sz w:val="14"/>
                <w:szCs w:val="14"/>
                <w:b w:val="1"/>
                <w:bCs w:val="1"/>
                <w:color w:val="auto"/>
                <w:w w:val="98"/>
              </w:rPr>
              <w:t>AVRO</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tcPr>
          <w:p>
            <w:pPr>
              <w:ind w:left="900"/>
              <w:spacing w:after="0" w:line="160" w:lineRule="exact"/>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37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None</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80" w:type="dxa"/>
            <w:vAlign w:val="bottom"/>
            <w:gridSpan w:val="3"/>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780" w:type="dxa"/>
            <w:vAlign w:val="bottom"/>
            <w:gridSpan w:val="3"/>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7"/>
        </w:trPr>
        <w:tc>
          <w:tcPr>
            <w:tcW w:w="690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18"/>
                <w:szCs w:val="18"/>
                <w:color w:val="auto"/>
              </w:rPr>
            </w:pPr>
          </w:p>
        </w:tc>
        <w:tc>
          <w:tcPr>
            <w:tcW w:w="37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90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20"/>
              <w:spacing w:after="0" w:line="161" w:lineRule="exact"/>
              <w:rPr>
                <w:sz w:val="20"/>
                <w:szCs w:val="20"/>
                <w:color w:val="auto"/>
              </w:rPr>
            </w:pPr>
            <w:r>
              <w:rPr>
                <w:rFonts w:ascii="Arial" w:cs="Arial" w:eastAsia="Arial" w:hAnsi="Arial"/>
                <w:sz w:val="14"/>
                <w:szCs w:val="14"/>
                <w:color w:val="auto"/>
                <w:w w:val="99"/>
              </w:rPr>
              <w:t xml:space="preserve">Yes </w:t>
            </w:r>
            <w:r>
              <w:rPr>
                <w:rFonts w:ascii="MS PGothic" w:cs="MS PGothic" w:eastAsia="MS PGothic" w:hAnsi="MS PGothic"/>
                <w:sz w:val="14"/>
                <w:szCs w:val="14"/>
                <w:color w:val="auto"/>
                <w:w w:val="99"/>
              </w:rPr>
              <w:t>☐</w:t>
            </w:r>
          </w:p>
        </w:tc>
        <w:tc>
          <w:tcPr>
            <w:tcW w:w="40" w:type="dxa"/>
            <w:vAlign w:val="bottom"/>
          </w:tcPr>
          <w:p>
            <w:pPr>
              <w:spacing w:after="0"/>
              <w:rPr>
                <w:sz w:val="19"/>
                <w:szCs w:val="19"/>
                <w:color w:val="auto"/>
              </w:rPr>
            </w:pPr>
          </w:p>
        </w:tc>
        <w:tc>
          <w:tcPr>
            <w:tcW w:w="3740" w:type="dxa"/>
            <w:vAlign w:val="bottom"/>
            <w:gridSpan w:val="2"/>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2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4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4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5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260" w:type="dxa"/>
            <w:vAlign w:val="bottom"/>
          </w:tcPr>
          <w:p>
            <w:pPr>
              <w:ind w:left="34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233"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$533,953,963 as of June 30, 2020 (based on a closing price of $17.45 share as quoted by the Nasdaq Global Select Market as of such date).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The registrant had 41,622,060 shares of Common Stock, $0.0001 par value per share, outstanding as of March 9, 2021.</w:t>
      </w:r>
    </w:p>
    <w:p>
      <w:pPr>
        <w:spacing w:after="0" w:line="24"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jc w:val="both"/>
        <w:ind w:right="20"/>
        <w:spacing w:after="0" w:line="259" w:lineRule="auto"/>
        <w:rPr>
          <w:sz w:val="20"/>
          <w:szCs w:val="20"/>
          <w:color w:val="auto"/>
        </w:rPr>
      </w:pPr>
      <w:r>
        <w:rPr>
          <w:rFonts w:ascii="Arial" w:cs="Arial" w:eastAsia="Arial" w:hAnsi="Arial"/>
          <w:sz w:val="13"/>
          <w:szCs w:val="13"/>
          <w:color w:val="auto"/>
        </w:rPr>
        <w:t>Part III of this Annual Report on Form 10-K incorporates by reference certain information from the registrant’s definitive Proxy Statement for its 2021 annual meeting of shareholders, which the registrant intends to file pursuant to Regulation 14A with the Securities and Exchange Commission not later than 120 days after the registrant’s fiscal year end of December 31, 2020.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 for the Fiscal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9840" w:type="dxa"/>
            <w:vAlign w:val="bottom"/>
            <w:vMerge w:val="restart"/>
          </w:tcPr>
          <w:p>
            <w:pPr>
              <w:ind w:left="180"/>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PART I</w:t>
              </w:r>
            </w:hyperlink>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Business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9840" w:type="dxa"/>
            <w:vAlign w:val="bottom"/>
          </w:tcPr>
          <w:p>
            <w:pPr>
              <w:ind w:left="1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Risk Factors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1B.</w:t>
            </w:r>
          </w:p>
        </w:tc>
        <w:tc>
          <w:tcPr>
            <w:tcW w:w="9840" w:type="dxa"/>
            <w:vAlign w:val="bottom"/>
          </w:tcPr>
          <w:p>
            <w:pPr>
              <w:ind w:left="18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Unresolved Staff Comments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18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Properties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18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Legal Proceedings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18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Mine Safety Disclosures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431"/>
        </w:trPr>
        <w:tc>
          <w:tcPr>
            <w:tcW w:w="820" w:type="dxa"/>
            <w:vAlign w:val="bottom"/>
          </w:tcPr>
          <w:p>
            <w:pPr>
              <w:spacing w:after="0"/>
              <w:rPr>
                <w:sz w:val="24"/>
                <w:szCs w:val="24"/>
                <w:color w:val="auto"/>
              </w:rPr>
            </w:pPr>
          </w:p>
        </w:tc>
        <w:tc>
          <w:tcPr>
            <w:tcW w:w="9840" w:type="dxa"/>
            <w:vAlign w:val="bottom"/>
          </w:tcPr>
          <w:p>
            <w:pPr>
              <w:ind w:left="180"/>
              <w:spacing w:after="0"/>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PART II</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9840" w:type="dxa"/>
            <w:vAlign w:val="bottom"/>
          </w:tcPr>
          <w:p>
            <w:pPr>
              <w:ind w:left="18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Market for the Registrant’s Common Equity, Related Stockholder Matters and Issuer Purchases of Equity Securities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9840" w:type="dxa"/>
            <w:vAlign w:val="bottom"/>
          </w:tcPr>
          <w:p>
            <w:pPr>
              <w:ind w:left="18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Reserved</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7.</w:t>
            </w:r>
          </w:p>
        </w:tc>
        <w:tc>
          <w:tcPr>
            <w:tcW w:w="9840" w:type="dxa"/>
            <w:vAlign w:val="bottom"/>
          </w:tcPr>
          <w:p>
            <w:pPr>
              <w:ind w:left="18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Management’s Discussion and Analysis of Financial Condition and Results of Operations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7A.</w:t>
            </w:r>
          </w:p>
        </w:tc>
        <w:tc>
          <w:tcPr>
            <w:tcW w:w="9840" w:type="dxa"/>
            <w:vAlign w:val="bottom"/>
          </w:tcPr>
          <w:p>
            <w:pPr>
              <w:ind w:left="18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Quantitative and Qualitative Disclosures about Market Risk</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8.</w:t>
            </w:r>
          </w:p>
        </w:tc>
        <w:tc>
          <w:tcPr>
            <w:tcW w:w="9840" w:type="dxa"/>
            <w:vAlign w:val="bottom"/>
          </w:tcPr>
          <w:p>
            <w:pPr>
              <w:ind w:left="18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Financial Statements and Supplementary Data</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9.</w:t>
            </w:r>
          </w:p>
        </w:tc>
        <w:tc>
          <w:tcPr>
            <w:tcW w:w="9840" w:type="dxa"/>
            <w:vAlign w:val="bottom"/>
          </w:tcPr>
          <w:p>
            <w:pPr>
              <w:ind w:left="18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Changes in and Disagreements with Accountants on Accounting and Financial Disclosure</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9A.</w:t>
            </w:r>
          </w:p>
        </w:tc>
        <w:tc>
          <w:tcPr>
            <w:tcW w:w="9840" w:type="dxa"/>
            <w:vAlign w:val="bottom"/>
          </w:tcPr>
          <w:p>
            <w:pPr>
              <w:ind w:left="18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Controls and Procedures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9B.</w:t>
            </w:r>
          </w:p>
        </w:tc>
        <w:tc>
          <w:tcPr>
            <w:tcW w:w="9840" w:type="dxa"/>
            <w:vAlign w:val="bottom"/>
          </w:tcPr>
          <w:p>
            <w:pPr>
              <w:ind w:left="18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Other Information</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431"/>
        </w:trPr>
        <w:tc>
          <w:tcPr>
            <w:tcW w:w="820" w:type="dxa"/>
            <w:vAlign w:val="bottom"/>
          </w:tcPr>
          <w:p>
            <w:pPr>
              <w:spacing w:after="0"/>
              <w:rPr>
                <w:sz w:val="24"/>
                <w:szCs w:val="24"/>
                <w:color w:val="auto"/>
              </w:rPr>
            </w:pPr>
          </w:p>
        </w:tc>
        <w:tc>
          <w:tcPr>
            <w:tcW w:w="9840" w:type="dxa"/>
            <w:vAlign w:val="bottom"/>
          </w:tcPr>
          <w:p>
            <w:pPr>
              <w:ind w:left="180"/>
              <w:spacing w:after="0"/>
              <w:rPr>
                <w:rFonts w:ascii="Arial" w:cs="Arial" w:eastAsia="Arial" w:hAnsi="Arial"/>
                <w:sz w:val="18"/>
                <w:szCs w:val="18"/>
                <w:b w:val="1"/>
                <w:bCs w:val="1"/>
                <w:u w:val="single" w:color="auto"/>
                <w:color w:val="0000EE"/>
              </w:rPr>
            </w:pPr>
            <w:hyperlink w:anchor="page109">
              <w:r>
                <w:rPr>
                  <w:rFonts w:ascii="Arial" w:cs="Arial" w:eastAsia="Arial" w:hAnsi="Arial"/>
                  <w:sz w:val="18"/>
                  <w:szCs w:val="18"/>
                  <w:b w:val="1"/>
                  <w:bCs w:val="1"/>
                  <w:u w:val="single" w:color="auto"/>
                  <w:color w:val="0000EE"/>
                </w:rPr>
                <w:t>PART III</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10.</w:t>
            </w:r>
          </w:p>
        </w:tc>
        <w:tc>
          <w:tcPr>
            <w:tcW w:w="9840" w:type="dxa"/>
            <w:vAlign w:val="bottom"/>
          </w:tcPr>
          <w:p>
            <w:pPr>
              <w:ind w:left="18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Directors, Executive Officers and Corporate Governance</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11.</w:t>
            </w:r>
          </w:p>
        </w:tc>
        <w:tc>
          <w:tcPr>
            <w:tcW w:w="9840" w:type="dxa"/>
            <w:vAlign w:val="bottom"/>
          </w:tcPr>
          <w:p>
            <w:pPr>
              <w:ind w:left="18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Executive Compensation</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12.</w:t>
            </w:r>
          </w:p>
        </w:tc>
        <w:tc>
          <w:tcPr>
            <w:tcW w:w="9840" w:type="dxa"/>
            <w:vAlign w:val="bottom"/>
          </w:tcPr>
          <w:p>
            <w:pPr>
              <w:ind w:left="18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Security Ownership of Certain Beneficial Owners and Management and Related Stockholder Matters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13.</w:t>
            </w:r>
          </w:p>
        </w:tc>
        <w:tc>
          <w:tcPr>
            <w:tcW w:w="9840" w:type="dxa"/>
            <w:vAlign w:val="bottom"/>
          </w:tcPr>
          <w:p>
            <w:pPr>
              <w:ind w:left="18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Certain Relationships and Related Transactions, and Director Independence</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14.</w:t>
            </w:r>
          </w:p>
        </w:tc>
        <w:tc>
          <w:tcPr>
            <w:tcW w:w="9840" w:type="dxa"/>
            <w:vAlign w:val="bottom"/>
          </w:tcPr>
          <w:p>
            <w:pPr>
              <w:ind w:left="18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Principal Accounting Fees and Services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431"/>
        </w:trPr>
        <w:tc>
          <w:tcPr>
            <w:tcW w:w="820" w:type="dxa"/>
            <w:vAlign w:val="bottom"/>
          </w:tcPr>
          <w:p>
            <w:pPr>
              <w:spacing w:after="0"/>
              <w:rPr>
                <w:sz w:val="24"/>
                <w:szCs w:val="24"/>
                <w:color w:val="auto"/>
              </w:rPr>
            </w:pPr>
          </w:p>
        </w:tc>
        <w:tc>
          <w:tcPr>
            <w:tcW w:w="9840" w:type="dxa"/>
            <w:vAlign w:val="bottom"/>
          </w:tcPr>
          <w:p>
            <w:pPr>
              <w:ind w:left="180"/>
              <w:spacing w:after="0"/>
              <w:rPr>
                <w:rFonts w:ascii="Arial" w:cs="Arial" w:eastAsia="Arial" w:hAnsi="Arial"/>
                <w:sz w:val="18"/>
                <w:szCs w:val="18"/>
                <w:b w:val="1"/>
                <w:bCs w:val="1"/>
                <w:u w:val="single" w:color="auto"/>
                <w:color w:val="0000EE"/>
              </w:rPr>
            </w:pPr>
            <w:hyperlink w:anchor="page110">
              <w:r>
                <w:rPr>
                  <w:rFonts w:ascii="Arial" w:cs="Arial" w:eastAsia="Arial" w:hAnsi="Arial"/>
                  <w:sz w:val="18"/>
                  <w:szCs w:val="18"/>
                  <w:b w:val="1"/>
                  <w:bCs w:val="1"/>
                  <w:u w:val="single" w:color="auto"/>
                  <w:color w:val="0000EE"/>
                </w:rPr>
                <w:t>PART IV</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15.</w:t>
            </w:r>
          </w:p>
        </w:tc>
        <w:tc>
          <w:tcPr>
            <w:tcW w:w="9840" w:type="dxa"/>
            <w:vAlign w:val="bottom"/>
          </w:tcPr>
          <w:p>
            <w:pPr>
              <w:ind w:left="18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Exhibits and Financial Statement Schedules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16.</w:t>
            </w:r>
          </w:p>
        </w:tc>
        <w:tc>
          <w:tcPr>
            <w:tcW w:w="9840" w:type="dxa"/>
            <w:vAlign w:val="bottom"/>
          </w:tcPr>
          <w:p>
            <w:pPr>
              <w:ind w:left="18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Form 10-K Summary</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9840" w:type="dxa"/>
            <w:vAlign w:val="bottom"/>
          </w:tcPr>
          <w:p>
            <w:pPr>
              <w:ind w:left="18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Signatures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121"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76" w:lineRule="exact"/>
        <w:rPr>
          <w:sz w:val="20"/>
          <w:szCs w:val="20"/>
          <w:color w:val="auto"/>
        </w:rPr>
      </w:pPr>
    </w:p>
    <w:p>
      <w:pPr>
        <w:ind w:left="960" w:right="46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net losses since inception. We expect to incur net losses for the foreseeable future and may never achieve or maintain profitability.</w:t>
      </w:r>
    </w:p>
    <w:p>
      <w:pPr>
        <w:spacing w:after="0" w:line="75" w:lineRule="exact"/>
        <w:rPr>
          <w:rFonts w:ascii="Arial" w:cs="Arial" w:eastAsia="Arial" w:hAnsi="Arial"/>
          <w:sz w:val="18"/>
          <w:szCs w:val="18"/>
          <w:color w:val="auto"/>
        </w:rPr>
      </w:pPr>
    </w:p>
    <w:p>
      <w:pPr>
        <w:ind w:left="960" w:right="42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75" w:lineRule="exact"/>
        <w:rPr>
          <w:rFonts w:ascii="Arial" w:cs="Arial" w:eastAsia="Arial" w:hAnsi="Arial"/>
          <w:sz w:val="18"/>
          <w:szCs w:val="18"/>
          <w:color w:val="auto"/>
        </w:rPr>
      </w:pPr>
    </w:p>
    <w:p>
      <w:pPr>
        <w:ind w:left="960" w:right="340" w:hanging="412"/>
        <w:spacing w:after="0" w:line="308"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Business interruptions resulting from the coronavirus disease (COVID-19) pandemic or similar public health crises have caused and may continue to cause a disruption of the development of our product candidates and adversely impact our business.</w:t>
      </w:r>
    </w:p>
    <w:p>
      <w:pPr>
        <w:spacing w:after="0" w:line="51" w:lineRule="exact"/>
        <w:rPr>
          <w:rFonts w:ascii="Arial" w:cs="Arial" w:eastAsia="Arial" w:hAnsi="Arial"/>
          <w:sz w:val="17"/>
          <w:szCs w:val="17"/>
          <w:color w:val="auto"/>
        </w:rPr>
      </w:pPr>
    </w:p>
    <w:p>
      <w:pPr>
        <w:ind w:left="960" w:right="6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75" w:lineRule="exact"/>
        <w:rPr>
          <w:rFonts w:ascii="Arial" w:cs="Arial" w:eastAsia="Arial" w:hAnsi="Arial"/>
          <w:sz w:val="18"/>
          <w:szCs w:val="18"/>
          <w:color w:val="auto"/>
        </w:rPr>
      </w:pPr>
    </w:p>
    <w:p>
      <w:pPr>
        <w:ind w:left="960" w:hanging="412"/>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9"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preclinical studies or early clinical trials may not be indicative of results obtained in later trials.</w:t>
      </w:r>
    </w:p>
    <w:p>
      <w:pPr>
        <w:spacing w:after="0" w:line="157" w:lineRule="exact"/>
        <w:rPr>
          <w:rFonts w:ascii="Arial" w:cs="Arial" w:eastAsia="Arial" w:hAnsi="Arial"/>
          <w:sz w:val="18"/>
          <w:szCs w:val="18"/>
          <w:color w:val="auto"/>
        </w:rPr>
      </w:pPr>
    </w:p>
    <w:p>
      <w:pPr>
        <w:ind w:left="960" w:right="36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us from proceeding with clinical trials of our product candidates.</w:t>
      </w:r>
    </w:p>
    <w:p>
      <w:pPr>
        <w:spacing w:after="0" w:line="75" w:lineRule="exact"/>
        <w:rPr>
          <w:rFonts w:ascii="Arial" w:cs="Arial" w:eastAsia="Arial" w:hAnsi="Arial"/>
          <w:sz w:val="18"/>
          <w:szCs w:val="18"/>
          <w:color w:val="auto"/>
        </w:rPr>
      </w:pPr>
    </w:p>
    <w:p>
      <w:pPr>
        <w:ind w:left="960" w:right="20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we may fail to demonstrate safety and efficacy to the satisfaction of applicable regulatory authorities.</w:t>
      </w:r>
    </w:p>
    <w:p>
      <w:pPr>
        <w:spacing w:after="0" w:line="75" w:lineRule="exact"/>
        <w:rPr>
          <w:rFonts w:ascii="Arial" w:cs="Arial" w:eastAsia="Arial" w:hAnsi="Arial"/>
          <w:sz w:val="18"/>
          <w:szCs w:val="18"/>
          <w:color w:val="auto"/>
        </w:rPr>
      </w:pPr>
    </w:p>
    <w:p>
      <w:pPr>
        <w:ind w:left="960" w:right="62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75" w:lineRule="exact"/>
        <w:rPr>
          <w:rFonts w:ascii="Arial" w:cs="Arial" w:eastAsia="Arial" w:hAnsi="Arial"/>
          <w:sz w:val="18"/>
          <w:szCs w:val="18"/>
          <w:color w:val="auto"/>
        </w:rPr>
      </w:pPr>
    </w:p>
    <w:p>
      <w:pPr>
        <w:ind w:left="96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Only certain of our clinical trials, including the Phase 2 clinical trial of AVR-RD-01 for Fabry disease and the Phase 1/2 clinical trial of AVR-RD-02 for Gaucher disease type 1, utilize our commercial-scale plato</w:t>
      </w:r>
      <w:r>
        <w:rPr>
          <w:rFonts w:ascii="Arial" w:cs="Arial" w:eastAsia="Arial" w:hAnsi="Arial"/>
          <w:sz w:val="15"/>
          <w:szCs w:val="15"/>
          <w:color w:val="auto"/>
        </w:rPr>
        <w:t>®</w:t>
      </w:r>
      <w:r>
        <w:rPr>
          <w:rFonts w:ascii="Arial" w:cs="Arial" w:eastAsia="Arial" w:hAnsi="Arial"/>
          <w:sz w:val="18"/>
          <w:szCs w:val="18"/>
          <w:color w:val="auto"/>
        </w:rPr>
        <w:t xml:space="preserve"> platform.</w:t>
      </w:r>
    </w:p>
    <w:p>
      <w:pPr>
        <w:spacing w:after="0" w:line="75" w:lineRule="exact"/>
        <w:rPr>
          <w:rFonts w:ascii="Arial" w:cs="Arial" w:eastAsia="Arial" w:hAnsi="Arial"/>
          <w:sz w:val="18"/>
          <w:szCs w:val="18"/>
          <w:color w:val="auto"/>
        </w:rPr>
      </w:pPr>
    </w:p>
    <w:p>
      <w:pPr>
        <w:ind w:left="960" w:right="220" w:hanging="412"/>
        <w:spacing w:after="0" w:line="311"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54" w:lineRule="exact"/>
        <w:rPr>
          <w:rFonts w:ascii="Arial" w:cs="Arial" w:eastAsia="Arial" w:hAnsi="Arial"/>
          <w:sz w:val="16"/>
          <w:szCs w:val="16"/>
          <w:color w:val="auto"/>
        </w:rPr>
      </w:pPr>
    </w:p>
    <w:p>
      <w:pPr>
        <w:ind w:left="960" w:right="60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75" w:lineRule="exact"/>
        <w:rPr>
          <w:rFonts w:ascii="Arial" w:cs="Arial" w:eastAsia="Arial" w:hAnsi="Arial"/>
          <w:sz w:val="18"/>
          <w:szCs w:val="18"/>
          <w:color w:val="auto"/>
        </w:rPr>
      </w:pPr>
    </w:p>
    <w:p>
      <w:pPr>
        <w:ind w:left="960" w:right="36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75"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a limited number of suppliers for some of our components and materials used in our product candidates.</w:t>
      </w:r>
    </w:p>
    <w:p>
      <w:pPr>
        <w:spacing w:after="0" w:line="157"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157" w:lineRule="exact"/>
        <w:rPr>
          <w:rFonts w:ascii="Arial" w:cs="Arial" w:eastAsia="Arial" w:hAnsi="Arial"/>
          <w:sz w:val="18"/>
          <w:szCs w:val="18"/>
          <w:color w:val="auto"/>
        </w:rPr>
      </w:pPr>
    </w:p>
    <w:p>
      <w:pPr>
        <w:ind w:left="960" w:right="160" w:hanging="412"/>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 In particular, we have in-licensed certain intellectual property rights and know-how relevant to AVR-RD-01 for our Fabry program, AVR-RD-02 for our Gaucher type 1 program and AVR-RD-05 for our Hunter program, but do not own any patents or patent applications covering these product candidates.</w:t>
      </w: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 w:name="page4"/>
    <w:bookmarkEnd w:id="3"/>
    <w:p>
      <w:pPr>
        <w:ind w:left="960" w:hanging="412"/>
        <w:spacing w:after="0" w:line="25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and our independent registered public accounting firm previously identified a material weakness in our internal control over financial reporting, which has now been remediated. Nevertheless, if we experience additional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228" w:lineRule="exact"/>
        <w:rPr>
          <w:sz w:val="20"/>
          <w:szCs w:val="20"/>
          <w:color w:val="auto"/>
        </w:rPr>
      </w:pPr>
    </w:p>
    <w:p>
      <w:pPr>
        <w:ind w:right="80" w:firstLine="546"/>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Item1A entitled “Risk Factors” and the other information set forth in this Annual Report on Form 10-K, including our consolidated financial statements and the related notes, as well as in other documents that we file with the Securities and Exchange Commission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Forward-looking Information</w:t>
      </w:r>
    </w:p>
    <w:p>
      <w:pPr>
        <w:spacing w:after="0" w:line="117" w:lineRule="exact"/>
        <w:rPr>
          <w:sz w:val="20"/>
          <w:szCs w:val="20"/>
          <w:color w:val="auto"/>
        </w:rPr>
      </w:pPr>
    </w:p>
    <w:p>
      <w:pPr>
        <w:ind w:right="100" w:firstLine="546"/>
        <w:spacing w:after="0" w:line="270" w:lineRule="auto"/>
        <w:rPr>
          <w:sz w:val="20"/>
          <w:szCs w:val="20"/>
          <w:color w:val="auto"/>
        </w:rPr>
      </w:pPr>
      <w:r>
        <w:rPr>
          <w:rFonts w:ascii="Arial" w:cs="Arial" w:eastAsia="Arial" w:hAnsi="Arial"/>
          <w:sz w:val="17"/>
          <w:szCs w:val="17"/>
          <w:color w:val="auto"/>
        </w:rPr>
        <w:t>This Annual Report on Form 10-K contains forward-looking statements which are made pursuant to the safe harbor provisions of Section 27A of the Securities Act of 1933, as amended, or the Securities Act, and Section 21E of the Securities Exchange Act of 1934, as amended, or the Exchange Act. These statements may be identified by such forward-looking terminology as “aims,” “anticipates,” “believes,” “continue,” “could,” “designed to,” “estimates,” “expects,” “intends,” “may,” “plans,” “potential,” “predicts,” “strives,” “should,”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73" w:lineRule="exact"/>
        <w:rPr>
          <w:sz w:val="20"/>
          <w:szCs w:val="20"/>
          <w:color w:val="auto"/>
        </w:rPr>
      </w:pPr>
    </w:p>
    <w:p>
      <w:pPr>
        <w:ind w:left="960" w:right="40" w:hanging="412"/>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on our clinical trial programs, clinical supply and business generally, as well as our plans and expectations with respect to the timing and resumption of any development activities that were or may be temporarily paused as a result of the COVID-19 pandemic;</w:t>
      </w:r>
    </w:p>
    <w:p>
      <w:pPr>
        <w:spacing w:after="0" w:line="75" w:lineRule="exact"/>
        <w:rPr>
          <w:rFonts w:ascii="Arial" w:cs="Arial" w:eastAsia="Arial" w:hAnsi="Arial"/>
          <w:sz w:val="18"/>
          <w:szCs w:val="18"/>
          <w:color w:val="auto"/>
        </w:rPr>
      </w:pPr>
    </w:p>
    <w:p>
      <w:pPr>
        <w:ind w:left="960" w:right="240" w:hanging="412"/>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75" w:lineRule="exact"/>
        <w:rPr>
          <w:rFonts w:ascii="Arial" w:cs="Arial" w:eastAsia="Arial" w:hAnsi="Arial"/>
          <w:sz w:val="18"/>
          <w:szCs w:val="18"/>
          <w:color w:val="auto"/>
        </w:rPr>
      </w:pPr>
    </w:p>
    <w:p>
      <w:pPr>
        <w:ind w:left="960" w:right="360" w:hanging="412"/>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15" w:lineRule="exact"/>
        <w:rPr>
          <w:rFonts w:ascii="Arial" w:cs="Arial" w:eastAsia="Arial" w:hAnsi="Arial"/>
          <w:sz w:val="16"/>
          <w:szCs w:val="16"/>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durability of effects from our product candidates;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implementation of our business model and our strategic plans for our business, product candidates, technology and plato platform;</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scalability and commercial viability of our manufacturing methods and processes, including our move to a closed, automated system;</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 in particular, and gene therapy, in general;</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44" w:lineRule="exact"/>
        <w:rPr>
          <w:rFonts w:ascii="Arial" w:cs="Arial" w:eastAsia="Arial" w:hAnsi="Arial"/>
          <w:sz w:val="18"/>
          <w:szCs w:val="18"/>
          <w:color w:val="auto"/>
        </w:rPr>
      </w:pPr>
    </w:p>
    <w:p>
      <w:pPr>
        <w:ind w:left="960" w:hanging="412"/>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75"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and our industry, including other lentiviral-based gene therapy companies;</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ind w:left="960" w:hanging="41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avoid any findings of material weaknesses or significant deficiencies in the future;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44" w:lineRule="exact"/>
        <w:rPr>
          <w:rFonts w:ascii="Arial" w:cs="Arial" w:eastAsia="Arial" w:hAnsi="Arial"/>
          <w:sz w:val="18"/>
          <w:szCs w:val="18"/>
          <w:color w:val="auto"/>
        </w:rPr>
      </w:pPr>
    </w:p>
    <w:p>
      <w:pPr>
        <w:ind w:left="960" w:right="380" w:hanging="412"/>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or JOBS Act;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52"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All of our forward-looking statements are as of the date of this Annual Report on Form 10-K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Annual Report on Form 10-K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Annual Report on Form 10-K, even if such results, changes or circumstances make it clear that any forward-looking information will not be realized. Any public statements or disclosures by us following this Annual Report on Form 10-K that modify or impact any of the forward-looking statements contained in this Annual Report on Form 10-K will be deemed to modify or supersede such statements in this Annual Report on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Regarding Trademarks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brand names or trademarks appearing in this report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Annual Report on Form 10-K to the “Company,” “AVROBIO,” “we,” “us,” and “our” refer to AVROBIO, Inc. Our “board of directors” refers to the board of directors of AVROBIO, Inc.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46"/>
        <w:spacing w:after="0" w:line="271" w:lineRule="auto"/>
        <w:rPr>
          <w:sz w:val="20"/>
          <w:szCs w:val="20"/>
          <w:color w:val="auto"/>
        </w:rPr>
      </w:pPr>
      <w:r>
        <w:rPr>
          <w:rFonts w:ascii="Arial" w:cs="Arial" w:eastAsia="Arial" w:hAnsi="Arial"/>
          <w:sz w:val="17"/>
          <w:szCs w:val="17"/>
          <w:color w:val="auto"/>
        </w:rPr>
        <w:t xml:space="preserve">We are a leading clinical-stage gene therapy company with a mission to free people from a lifetime of genetic disease. Our company is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patients with rare diseases following a single dose treatment regimen. Our gene therapies employ hematopoietic stem cells that are harvested from the patient and then modified with a lentiviral vector to insert the equivalent of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disorders, some of which today are primarily managed with enzyme replacement therapies, or ERTs. These lysosomal disorders have well-understood biologies, identified patient populations, established standards of care yet with significant unmet needs, and represent large market opportunities with approximately $4.8 billion in worldwide net sales in 2020.</w:t>
      </w:r>
    </w:p>
    <w:p>
      <w:pPr>
        <w:spacing w:after="0" w:line="178"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Our initial pipeline is comprised of six lentiviral-based gene therapy programs: AVR-RD-01 for the treatment of Fabry disease; AVR-RD-04 for the treatment of cystinosis; AVR-RD-02 for the treatment of Gaucher disease type 1; AVR-RD-05 for the treatment of Hunter syndrome; AVR-RD-06 for the treatment of Gaucher disease type 3; and AVR-RD-03 for the treatment of Pompe disease. AVR-RD-01 is currently being evaluated for the treatment of Fabry disease in an investigator-sponsored Phase 1 clinical trial and a Company-sponsored Phase 2 clinical trial. Five patients have been dosed in the investigator-sponsored Phase 1 clinical trial of AVR-RD-01, and enrollment is complete. Five patients have been dosed in our Company-sponsored Phase 2 clinical trial of AVR-RD-01, which we refer to as the FAB-GT clinical trial, and we are actively recruiting additional potential patients for our currently active sites in Australia, Canada and the United States. AVR-RD-04 is currently being studied for the treatment of cystinosis by our collaborators at the University of California, San Diego, or UCSD, in a Phase 1/2 investigator-sponsored clinical trial, and three patients have been dosed. One patient has been dosed in our Company-sponsored Phase 1/2 clinical trial of AVR-RD-02 for the treatment of Gaucher disease, which we refer to as the Guard1 clinical trial, and we are actively recruiting in Australia and Canada, with additional sites planned in the United States, Israel and Europe. AVR-RD-05 is being studied for the treatment of Hunter syndrome by our collaborators at The University of Manchester, and a Phase 1/2 investigator-sponsored clinical trial is expected to commence in the first half of 2022. In November 2020, we announced a new preclinical program, AVR-RD-06 for the treatment of Gaucher disease type 3, and we expect to request a meeting with the Food and Drug Administration, or FDA, this year to discuss a potential path to the clinic. Our AVR-RD-03 program for Pompe disease is currently in preclinical development, and in 2020 we completed IND-enabling proof-of-concept preclinical studies, with toxicology studies expected to be completed in 2021.</w:t>
      </w:r>
    </w:p>
    <w:p>
      <w:pPr>
        <w:spacing w:after="0" w:line="167" w:lineRule="exact"/>
        <w:rPr>
          <w:sz w:val="20"/>
          <w:szCs w:val="20"/>
          <w:color w:val="auto"/>
        </w:rPr>
      </w:pPr>
    </w:p>
    <w:p>
      <w:pPr>
        <w:ind w:right="40" w:firstLine="546"/>
        <w:spacing w:after="0" w:line="288" w:lineRule="auto"/>
        <w:rPr>
          <w:sz w:val="20"/>
          <w:szCs w:val="20"/>
          <w:color w:val="auto"/>
        </w:rPr>
      </w:pPr>
      <w:r>
        <w:rPr>
          <w:rFonts w:ascii="Arial" w:cs="Arial" w:eastAsia="Arial" w:hAnsi="Arial"/>
          <w:sz w:val="16"/>
          <w:szCs w:val="16"/>
          <w:color w:val="auto"/>
        </w:rPr>
        <w:t xml:space="preserve">Since its first clinical use in 2003, lentiviral-based gene therapy has been studied in several third parties’ clinical trials for rare diseases such as transfusion-dependent beta thalassemia, cerebral adrenoleukodystrophy, or CALD, metachromatic leukodystrophy, or MLD, and adenosine deaminase severe combined immunodeficiency, or ADA-SCID. Initially, the use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therapies was restricted primarily to the most severe diseases where the risks of the typical requirement for ablating the patients’ bone marrow had a clinically justifiable risk/benefit profile. To date, over 350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typically an essential step in the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gene therapy treatment procedure and is administered prior to the gene therapy. The higher the level of conditioning, the greater the potential risk of more serious complications, such as veno-occlusive disease. However, we believe the risk of more serious complications can be managed through utilization of a precision busulfan dosing program, which we refer to as Target Concentration Intervention, or TCI. TCI is designed to enable careful titrating of exposure to the conditioning drug to a specific area under the curve, or AuC. The conditioning regimen utilized as part of our plato platform includes TCI to assess how rapidly the individual patient metabolizes the conditioning agent so physicians can adjust the dose as needed, with a goal of minimizing side effects while maximizing the potential of durable engraftment. We believe our approach, utilizing a single myeloablative conditioning agent, busulfan, coupled with TCI designed to titrate to a specific AuC, has the potential to extend the reach of our gene therapies to a broad range of diseases as first-line therapies. Our goal is to broaden the applicability of lentiviral-based gene therapy by initially targeting monogenic diseases with an identified gene, recognized biology and that could potentially benefit from the sustained systemic delivery of an active protein.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ind w:firstLine="546"/>
        <w:spacing w:after="0" w:line="270" w:lineRule="auto"/>
        <w:rPr>
          <w:sz w:val="20"/>
          <w:szCs w:val="20"/>
          <w:color w:val="auto"/>
        </w:rPr>
      </w:pPr>
      <w:r>
        <w:rPr>
          <w:rFonts w:ascii="Arial" w:cs="Arial" w:eastAsia="Arial" w:hAnsi="Arial"/>
          <w:sz w:val="17"/>
          <w:szCs w:val="17"/>
          <w:color w:val="auto"/>
        </w:rPr>
        <w:t xml:space="preserve">Plato is our gene therapy platform designed to provide the foundation for the potential worldwide commercialization of our gene therapies, if approved. It is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platform incorporating multiple upgrades including a four-plasmid lentiviral vector designed to optimize vector copy number, transduction efficiency and resulting enzyme activity; a closed, automated manufacturing system designed to improve consistency and predictability of the drug product; and a personalized approach to conditioning using TCI. Two patients in our FAB-GT clinical trial of AVR-RD-01 and one patient in our Guard1 clinical trial of AVR-RD-02 have been dosed with drug product manufactured utilizing the plato platform, and we intend to utilize the plato platform with these process changes for all future patients enrolling in these two clinical trials. We believe our innovations in viral vector design, cellular manufacturing, cryopreservation, conditioning and other related processes are important steps towards advancing the field of lentiviral-based gene therapy and realizing its full potential to treat a number of diseases. We plan to continue leveraging advancements in stem cell transplantation with the goal of improving patient tolerability of our lentiviral-based gene therapies.</w:t>
      </w:r>
    </w:p>
    <w:p>
      <w:pPr>
        <w:spacing w:after="0" w:line="181" w:lineRule="exact"/>
        <w:rPr>
          <w:sz w:val="20"/>
          <w:szCs w:val="20"/>
          <w:color w:val="auto"/>
        </w:rPr>
      </w:pPr>
    </w:p>
    <w:p>
      <w:pPr>
        <w:ind w:right="60" w:firstLine="546"/>
        <w:spacing w:after="0" w:line="287" w:lineRule="auto"/>
        <w:rPr>
          <w:sz w:val="20"/>
          <w:szCs w:val="20"/>
          <w:color w:val="auto"/>
        </w:rPr>
      </w:pPr>
      <w:r>
        <w:rPr>
          <w:rFonts w:ascii="Arial" w:cs="Arial" w:eastAsia="Arial" w:hAnsi="Arial"/>
          <w:sz w:val="16"/>
          <w:szCs w:val="16"/>
          <w:color w:val="auto"/>
        </w:rPr>
        <w:t>We are initially targeting rare lysosomal disorders in which the current standard of care provides the mechanistic proof that the enzymes or proteins produced endogenously following treatment with our gene therapies can offer benefit to patients. Typically, in lysosomal disorders, a gene mutation results in the deficiency or malfunctioning of an enzyme or other protein. This results in the inability of lysosomes to properly process cellular materials such as damaged organelles. As a result, substrates and their metabolites accumulate to toxic levels in the body’s cells and, in turn, disrupt the function of multiple tissues and organs. Fabry disease, Gaucher disease (types 1 and 3), Hunter syndrome and Pompe disease are currently primarily managed by bi-weekly (or weekly in the case of Hunter syndrome), multi-hour infusions with ERTs that seek to exogenously replace the missing functional enzyme. However, given their pharmacokinetics, most ERTs typically remain in the plasma only for a short period of time and thus are not ideal because they are only dosed weekly or every two weeks. Cystinosis is currently treated with two oral formulations of cysteamine that must be taken orally every 12 or six hours, leading to significant pill burden and compliance challenges. Further, oral cysteamine treatment has no effect on ocular cystine crystals deposits, thus requiring patients to be treated with topical cysteamine eye drops which must be applied each hour the patient is awake. These existing therapies manage, rather than cure, the underlying diseases and, as a result, patients continue to have disease progression. Further, the frequent, periodic and life-long dosing schedule required for ERTs and cysteamine results in significant costs for the healthcare system and is burdensome for the patient.</w:t>
      </w:r>
    </w:p>
    <w:p>
      <w:pPr>
        <w:spacing w:after="0" w:line="168" w:lineRule="exact"/>
        <w:rPr>
          <w:sz w:val="20"/>
          <w:szCs w:val="20"/>
          <w:color w:val="auto"/>
        </w:rPr>
      </w:pPr>
    </w:p>
    <w:p>
      <w:pPr>
        <w:ind w:right="240" w:firstLine="546"/>
        <w:spacing w:after="0" w:line="259" w:lineRule="auto"/>
        <w:rPr>
          <w:sz w:val="20"/>
          <w:szCs w:val="20"/>
          <w:color w:val="auto"/>
        </w:rPr>
      </w:pPr>
      <w:r>
        <w:rPr>
          <w:rFonts w:ascii="Arial" w:cs="Arial" w:eastAsia="Arial" w:hAnsi="Arial"/>
          <w:sz w:val="18"/>
          <w:szCs w:val="18"/>
          <w:color w:val="auto"/>
        </w:rPr>
        <w:t>We believe our gene therapies leverage the well-understood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potentially providing significant health economic advantages.</w:t>
      </w:r>
    </w:p>
    <w:p>
      <w:pPr>
        <w:spacing w:after="0" w:line="187"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Our programs leverage years of extensive preclinical and early clinical research by leading researchers, as well as our internal research and ongoing clinical efforts. The status of our initial lentiviral-based gene therapy programs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117475</wp:posOffset>
            </wp:positionV>
            <wp:extent cx="4371975" cy="2665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7197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ind w:right="80" w:firstLine="546"/>
        <w:spacing w:after="0" w:line="287" w:lineRule="auto"/>
        <w:rPr>
          <w:sz w:val="20"/>
          <w:szCs w:val="20"/>
          <w:color w:val="auto"/>
        </w:rPr>
      </w:pPr>
      <w:r>
        <w:rPr>
          <w:rFonts w:ascii="Arial" w:cs="Arial" w:eastAsia="Arial" w:hAnsi="Arial"/>
          <w:sz w:val="16"/>
          <w:szCs w:val="16"/>
          <w:color w:val="auto"/>
        </w:rPr>
        <w:t xml:space="preserve">Our lead product candidate, AVR-RD-01 for the treatment of Fabry disease, is derived from hematopoietic stem cells to which the gene encoding plasma α-galactosidase A, or AGA, is added in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process using a lentiviral vector. In February 2021, we reported that a kidney biopsy taken at 12 months post-treatment from the fourth patient in the Phase 2 FAB-GT trial, who was the first in the trial dosed with our plato platform, showed a 100 percent reduction from baseline in the average number of globotriaosylceramide, or Gb3, inclusions per peritubular capillary, or PTC. These data followed our 2019 announcement that at 12 months post-treatment the first patient in the FAB-GT clinical trial exhibited an 87% reduction in the average number of Gb3 inclusions per PTC as compared to baseline. In addition, in February 2021 we reported data from the first four patients in the FAB-GT trial measured as of 29, 24, 18 and 12 months, respectively, indicating sustained increased leukocyte and plasma enzyme activity, suggesting that these patients are now producing an endogenous supply of AGA, as well as decreased plasma lyso-globotriaosylsphingosine, or lyso-Gb3, levels in three of four patients, a key biomarker for monitoring Fabry disease. We have opened two U.S. sites for our ongoing FAB-GT clinical trial of AVR-RD-01, and we are actively recruiting potential patients for our sites in Australia, Canada and the United States. We have submitted a briefing book to the FDA outlining our proposal for a potential accelerated approval strategy for AVR-RD-01, including a proposed randomized confirmatory clinical trial of Fabry patients who are being treated with ERT. We expect to meet with the FDA in the first quarter of 2021 to discuss our proposal.</w:t>
      </w:r>
    </w:p>
    <w:p>
      <w:pPr>
        <w:spacing w:after="0" w:line="168"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In February 2021, we announced initial clinical data from the first three patients dosed in the investigator-sponsored Phase 1/2 trial of AVR-RD-04, our investigational gene therapy for cystinosis. As of January 20, 2021, all three patients had discontinued cysteamine pills and eye drops and remained cysteamine-independent out as far as 16 months post-treatment.</w:t>
      </w:r>
    </w:p>
    <w:p>
      <w:pPr>
        <w:spacing w:after="0" w:line="224" w:lineRule="exact"/>
        <w:rPr>
          <w:sz w:val="20"/>
          <w:szCs w:val="20"/>
          <w:color w:val="auto"/>
        </w:rPr>
      </w:pPr>
    </w:p>
    <w:p>
      <w:pPr>
        <w:ind w:right="100" w:firstLine="546"/>
        <w:spacing w:after="0" w:line="287" w:lineRule="auto"/>
        <w:rPr>
          <w:sz w:val="20"/>
          <w:szCs w:val="20"/>
          <w:color w:val="auto"/>
        </w:rPr>
      </w:pPr>
      <w:r>
        <w:rPr>
          <w:rFonts w:ascii="Arial" w:cs="Arial" w:eastAsia="Arial" w:hAnsi="Arial"/>
          <w:sz w:val="16"/>
          <w:szCs w:val="16"/>
          <w:color w:val="auto"/>
        </w:rPr>
        <w:t>We also announced in February 2021 clinical data from the first patient dosed in our Phase 1/2 Guard1 clinical trial of AVR-RD-02 for Gaucher disease type 1. The first patient exhibited a 44% reduction in plasma glucosylsphingosine, or lyso-Gb1, levels six months post-administration of AVR-RD-02 as compared to baseline while on ERT. Lyso-Gb1 is considered a surrogate marker for disease activity and treatment response for Gaucher disease type</w:t>
      </w:r>
    </w:p>
    <w:p>
      <w:pPr>
        <w:spacing w:after="0" w:line="2" w:lineRule="exact"/>
        <w:rPr>
          <w:sz w:val="20"/>
          <w:szCs w:val="20"/>
          <w:color w:val="auto"/>
        </w:rPr>
      </w:pPr>
    </w:p>
    <w:p>
      <w:pPr>
        <w:ind w:right="160" w:firstLine="8"/>
        <w:spacing w:after="0" w:line="253"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we announced that at six months post-treatment the first patient exhibited a 49% reduction in chitotriosidase levels as compared to baseline while on ERT. Chitotriosidase is a biomarker of macrophage activation that is found in high levels in Gaucher patients where the macrophages have accumulated an excess lipid burden. This clinical trial is actively recruiting in Australia and Canada, with additional sites planned in the United States, Israel and Europe.</w:t>
      </w:r>
    </w:p>
    <w:p>
      <w:pPr>
        <w:spacing w:after="0" w:line="193" w:lineRule="exact"/>
        <w:rPr>
          <w:sz w:val="20"/>
          <w:szCs w:val="20"/>
          <w:color w:val="auto"/>
        </w:rPr>
      </w:pPr>
    </w:p>
    <w:p>
      <w:pPr>
        <w:ind w:right="520" w:firstLine="546"/>
        <w:spacing w:after="0" w:line="308" w:lineRule="auto"/>
        <w:rPr>
          <w:sz w:val="20"/>
          <w:szCs w:val="20"/>
          <w:color w:val="auto"/>
        </w:rPr>
      </w:pPr>
      <w:r>
        <w:rPr>
          <w:rFonts w:ascii="Arial" w:cs="Arial" w:eastAsia="Arial" w:hAnsi="Arial"/>
          <w:sz w:val="17"/>
          <w:szCs w:val="17"/>
          <w:color w:val="auto"/>
        </w:rPr>
        <w:t>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Expertise</w:t>
      </w:r>
    </w:p>
    <w:p>
      <w:pPr>
        <w:spacing w:after="0" w:line="121"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We are led by biopharmaceutical experts with extensive experience in gene and cellular therapy, and rare diseases. Our team has broad expertise in the clinical, regulatory and commercialization aspects of rare diseases as well as process development and manufacturing for cellular therapies. Members of our management team have held senior positions at Amgen, AstraZeneca, AveXis, Biogen, bluebird bio, GlaxoSmithKline, Lonza, Novartis, Sanofi Genzyme, Shire, Spark Therapeutics, and other companies pursuing development, manufacturing and commercialization of gene, cellular and other therapies to treat rare diseases.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Our goal is to develop and commercialize lentiviral-based gene therapies that free patients from a lifetime of genetic disease. Key elements of our strategy include:</w:t>
      </w:r>
    </w:p>
    <w:p>
      <w:pPr>
        <w:spacing w:after="0" w:line="62" w:lineRule="exact"/>
        <w:rPr>
          <w:sz w:val="20"/>
          <w:szCs w:val="20"/>
          <w:color w:val="auto"/>
        </w:rPr>
      </w:pPr>
    </w:p>
    <w:p>
      <w:pPr>
        <w:ind w:left="960" w:right="80" w:hanging="412"/>
        <w:spacing w:after="0" w:line="255"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Rapidly advance our pipeline targeting lysosomal disorders. </w:t>
      </w:r>
      <w:r>
        <w:rPr>
          <w:rFonts w:ascii="Arial" w:cs="Arial" w:eastAsia="Arial" w:hAnsi="Arial"/>
          <w:sz w:val="18"/>
          <w:szCs w:val="18"/>
          <w:color w:val="auto"/>
        </w:rPr>
        <w:t>We are initially targeting lysosomal disorders and are developing a deep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of six gene therapies to treat Fabry disease, cystinosis, Gaucher disease type 1, Hunter syndrome, Gaucher disease type 3 and Pompe disease. We intend to continue rapidly advancing these programs in parallel and to obtain clinical data that could potentially support regulatory filings around the world. Specifically, we intend to pursue pathways for accelerated review and approval of our product candidates by the FDA and international regulatory authorities through programs such as the Regenerative Medicine Advanced Therapies, or RMAT, program in the United States.</w:t>
      </w:r>
    </w:p>
    <w:p>
      <w:pPr>
        <w:spacing w:after="0" w:line="84" w:lineRule="exact"/>
        <w:rPr>
          <w:rFonts w:ascii="Arial" w:cs="Arial" w:eastAsia="Arial" w:hAnsi="Arial"/>
          <w:sz w:val="18"/>
          <w:szCs w:val="18"/>
          <w:color w:val="auto"/>
        </w:rPr>
      </w:pPr>
    </w:p>
    <w:p>
      <w:pPr>
        <w:ind w:left="960" w:right="200" w:hanging="412"/>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Continue implementing and enhancing our industry-leading plato platform with its personalized approach to conditioning, enhanced vector technology and automated, closed manufacturing processes. </w:t>
      </w:r>
      <w:r>
        <w:rPr>
          <w:rFonts w:ascii="Arial" w:cs="Arial" w:eastAsia="Arial" w:hAnsi="Arial"/>
          <w:sz w:val="18"/>
          <w:szCs w:val="18"/>
          <w:color w:val="auto"/>
        </w:rPr>
        <w:t>Our end-to-end plato platform is designed to provide the foundation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commercialization of our gene therapies, if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 w:name="page10"/>
    <w:bookmarkEnd w:id="9"/>
    <w:p>
      <w:pPr>
        <w:ind w:left="960" w:right="60"/>
        <w:spacing w:after="0" w:line="269" w:lineRule="auto"/>
        <w:rPr>
          <w:sz w:val="20"/>
          <w:szCs w:val="20"/>
          <w:color w:val="auto"/>
        </w:rPr>
      </w:pPr>
      <w:r>
        <w:rPr>
          <w:rFonts w:ascii="Arial" w:cs="Arial" w:eastAsia="Arial" w:hAnsi="Arial"/>
          <w:sz w:val="17"/>
          <w:szCs w:val="17"/>
          <w:color w:val="auto"/>
        </w:rPr>
        <w:t>approved. We believe our innovations in viral vector design, cellular manufacturing, cryopreservation, and other related processes are important steps towards advancing the field of lentiviral-based gene therapy and realizing its full potential to treat a number of diseases. Plato incorporates a four-plasmid lentiviral vector designed to optimize vector copy number, transduction efficiency and resulting enzyme activity. In combination with this vector, in some indications we use a number of proprietary peptide tag technologies to enhance uptake of therapeutic protein in key tissues. We have also developed a manufacturing process that we believe is both reproducible and scalable, and we believe this technology could enable us to deliver our gene therapies to patients, if approved, in quantities sufficient for global commercial supply. In addition, we believe our personalized approach to conditioning using busulfan with a precision dosing program called Target Concentration Intervention could enable us to deliver durable, ‘head-to-toe’ treatment of symptoms and early intervention in the treatment of lysosomal disorders. We will continue to leverage advancements in stem cell transplantation in order to improve patient tolerability of our lentiviral-based gene therapies.</w:t>
      </w:r>
    </w:p>
    <w:p>
      <w:pPr>
        <w:spacing w:after="0" w:line="77" w:lineRule="exact"/>
        <w:rPr>
          <w:sz w:val="20"/>
          <w:szCs w:val="20"/>
          <w:color w:val="auto"/>
        </w:rPr>
      </w:pPr>
    </w:p>
    <w:p>
      <w:pPr>
        <w:ind w:left="960" w:right="20" w:hanging="412"/>
        <w:spacing w:after="0" w:line="301"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Build global infrastructure to reach patients across the world. </w:t>
      </w:r>
      <w:r>
        <w:rPr>
          <w:rFonts w:ascii="Arial" w:cs="Arial" w:eastAsia="Arial" w:hAnsi="Arial"/>
          <w:sz w:val="16"/>
          <w:szCs w:val="16"/>
          <w:color w:val="auto"/>
        </w:rPr>
        <w:t>Lysosomal disorders afflict patients globally and we intend to continue building</w:t>
      </w:r>
      <w:r>
        <w:rPr>
          <w:rFonts w:ascii="Arial" w:cs="Arial" w:eastAsia="Arial" w:hAnsi="Arial"/>
          <w:sz w:val="16"/>
          <w:szCs w:val="16"/>
          <w:i w:val="1"/>
          <w:iCs w:val="1"/>
          <w:color w:val="auto"/>
        </w:rPr>
        <w:t xml:space="preserve"> </w:t>
      </w:r>
      <w:r>
        <w:rPr>
          <w:rFonts w:ascii="Arial" w:cs="Arial" w:eastAsia="Arial" w:hAnsi="Arial"/>
          <w:sz w:val="16"/>
          <w:szCs w:val="16"/>
          <w:color w:val="auto"/>
        </w:rPr>
        <w:t>global infrastructure in order to provide treatment to patients around the world. This infrastructure includes clinical sites, specialist physicians and researchers, suppliers and contract manufacturing organizations. We are currently conducting clinical trials across multiple geographies, including the United States, Canada and Australia, with plans to potentially expand to other geographies including Europe and Israel.</w:t>
      </w:r>
    </w:p>
    <w:p>
      <w:pPr>
        <w:spacing w:after="0" w:line="49" w:lineRule="exact"/>
        <w:rPr>
          <w:rFonts w:ascii="Arial" w:cs="Arial" w:eastAsia="Arial" w:hAnsi="Arial"/>
          <w:sz w:val="16"/>
          <w:szCs w:val="16"/>
          <w:color w:val="auto"/>
        </w:rPr>
      </w:pPr>
    </w:p>
    <w:p>
      <w:pPr>
        <w:ind w:left="960" w:right="60" w:hanging="412"/>
        <w:spacing w:after="0" w:line="311"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approach beyond our initial indications. </w:t>
      </w:r>
      <w:r>
        <w:rPr>
          <w:rFonts w:ascii="Arial" w:cs="Arial" w:eastAsia="Arial" w:hAnsi="Arial"/>
          <w:sz w:val="16"/>
          <w:szCs w:val="16"/>
          <w:color w:val="auto"/>
        </w:rPr>
        <w:t>We are initially developing gene therapies for the treatment of six different lysosomal</w:t>
      </w:r>
      <w:r>
        <w:rPr>
          <w:rFonts w:ascii="Arial" w:cs="Arial" w:eastAsia="Arial" w:hAnsi="Arial"/>
          <w:sz w:val="16"/>
          <w:szCs w:val="16"/>
          <w:i w:val="1"/>
          <w:iCs w:val="1"/>
          <w:color w:val="auto"/>
        </w:rPr>
        <w:t xml:space="preserve"> </w:t>
      </w:r>
      <w:r>
        <w:rPr>
          <w:rFonts w:ascii="Arial" w:cs="Arial" w:eastAsia="Arial" w:hAnsi="Arial"/>
          <w:sz w:val="16"/>
          <w:szCs w:val="16"/>
          <w:color w:val="auto"/>
        </w:rPr>
        <w:t>disorders and believe that we will gain significant learnings and technical insights from these programs. We intend to leverage our technology and insights to treat a number of rare and non-rare diseases where we believe our lentiviral approach has transformative potential.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 xml:space="preserve">We develop gene therapies utilizing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approach to transform a patient’s own stem cells into a drug product. Our investigational gene therapies employ lentiviral vectors that are designed to result in stable integration of the desired genes in the chromosomes of stem cells such that they are permanently maintained in the cell and can be reproduced as the cell divides. We focus on delivering our lentiviral-based gene therapies to patient-derived hematopoietic stem cells, which are primitive stem cells that develop into all types of blood cells, including white blood cells, red blood cells and platelets. To accomplish this, we harvest a patient’s hematopoietic stem cells and modify them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to add the equivalent of a functional copy of the gene that is defective in the target disease. We then infuse the genetically modified cells back into the patient. Our gene therapies are designed to be administered to the patient as a one-time therapy following a TCI conditioning regimen.</w:t>
      </w:r>
    </w:p>
    <w:p>
      <w:pPr>
        <w:spacing w:after="0" w:line="177"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 xml:space="preserve">We are focused on employing our approach to treat and potentially cure lysosomal disorders. These disorders have well-understood biologies, identified patient populations, established standards of care that leave many patients with significant unmet medical needs, and represent large markets with approximately $4.8 billion in worldwide net sales in 2020. We believe our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therapy approach can be industrialized into a robust, scalable and, if approved, commercially viable process that will allow us to deliver our potentially curative therapies to patients across the world.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Advantages of Ex-Vivo Lentiviral-Based Gene Therapy Approach</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ex-vivo lentiviral-based gene therapy provides numerous advantages, including:</w:t>
      </w:r>
    </w:p>
    <w:p>
      <w:pPr>
        <w:spacing w:after="0" w:line="117" w:lineRule="exact"/>
        <w:rPr>
          <w:sz w:val="20"/>
          <w:szCs w:val="20"/>
          <w:color w:val="auto"/>
        </w:rPr>
      </w:pPr>
    </w:p>
    <w:p>
      <w:pPr>
        <w:ind w:left="960" w:right="40" w:hanging="412"/>
        <w:spacing w:after="0" w:line="311"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Durable benefit. </w:t>
      </w:r>
      <w:r>
        <w:rPr>
          <w:rFonts w:ascii="Arial" w:cs="Arial" w:eastAsia="Arial" w:hAnsi="Arial"/>
          <w:sz w:val="16"/>
          <w:szCs w:val="16"/>
          <w:color w:val="auto"/>
        </w:rPr>
        <w:t>We believe lentiviral vectors have the potential to provide life-long benefits with a single dose. Lentiviral vectors can</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integrate stably into the genome of hematopoietic stem cells and, when these cells replicate, they pass the integrated genes on to their progeny cells. Across the industry, efficacy in patients treated with lentiviral gene therapies has been demonstrated for longer than 12 years.</w:t>
      </w:r>
    </w:p>
    <w:p>
      <w:pPr>
        <w:spacing w:after="0" w:line="40" w:lineRule="exact"/>
        <w:rPr>
          <w:rFonts w:ascii="Arial" w:cs="Arial" w:eastAsia="Arial" w:hAnsi="Arial"/>
          <w:sz w:val="16"/>
          <w:szCs w:val="16"/>
          <w:color w:val="auto"/>
        </w:rPr>
      </w:pPr>
    </w:p>
    <w:p>
      <w:pPr>
        <w:ind w:left="960" w:right="100" w:hanging="412"/>
        <w:spacing w:after="0" w:line="301"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Systemic therapeutic effect. </w:t>
      </w:r>
      <w:r>
        <w:rPr>
          <w:rFonts w:ascii="Arial" w:cs="Arial" w:eastAsia="Arial" w:hAnsi="Arial"/>
          <w:sz w:val="16"/>
          <w:szCs w:val="16"/>
          <w:color w:val="auto"/>
        </w:rPr>
        <w:t>Progeny cells circulate systemically and may migrate into tissues and therefore have the ability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benefit to affected tissues and organs throughout the body. In addition, we believe that our personalized busulfan conditioning regimen has the potential to allow the therapeutic benefits of our gene therapies to cross the blood-brain barrier and treat symptoms arising in the central nervous system. These often severe symptoms are typically unaddressed by the current standards-of-care for lysosomal disorders.</w:t>
      </w:r>
    </w:p>
    <w:p>
      <w:pPr>
        <w:spacing w:after="0" w:line="49" w:lineRule="exact"/>
        <w:rPr>
          <w:rFonts w:ascii="Arial" w:cs="Arial" w:eastAsia="Arial" w:hAnsi="Arial"/>
          <w:sz w:val="16"/>
          <w:szCs w:val="16"/>
          <w:color w:val="auto"/>
        </w:rPr>
      </w:pPr>
    </w:p>
    <w:p>
      <w:pPr>
        <w:ind w:left="960" w:hanging="41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Broad patient applicability. </w:t>
      </w:r>
      <w:r>
        <w:rPr>
          <w:rFonts w:ascii="Arial" w:cs="Arial" w:eastAsia="Arial" w:hAnsi="Arial"/>
          <w:sz w:val="18"/>
          <w:szCs w:val="18"/>
          <w:color w:val="auto"/>
        </w:rPr>
        <w:t>Lentiviral-based gene therapies have been used to deliver treatments to patients of all ages, including children, and</w:t>
      </w:r>
      <w:r>
        <w:rPr>
          <w:rFonts w:ascii="Arial" w:cs="Arial" w:eastAsia="Arial" w:hAnsi="Arial"/>
          <w:sz w:val="18"/>
          <w:szCs w:val="18"/>
          <w:i w:val="1"/>
          <w:iCs w:val="1"/>
          <w:color w:val="auto"/>
        </w:rPr>
        <w:t xml:space="preserve"> </w:t>
      </w:r>
      <w:r>
        <w:rPr>
          <w:rFonts w:ascii="Arial" w:cs="Arial" w:eastAsia="Arial" w:hAnsi="Arial"/>
          <w:sz w:val="18"/>
          <w:szCs w:val="18"/>
          <w:color w:val="auto"/>
        </w:rPr>
        <w:t>to patients who may be ineligible for other types of gene therapy due to the presence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 w:name="page11"/>
    <w:bookmarkEnd w:id="10"/>
    <w:p>
      <w:pPr>
        <w:ind w:left="960"/>
        <w:spacing w:after="0"/>
        <w:rPr>
          <w:sz w:val="20"/>
          <w:szCs w:val="20"/>
          <w:color w:val="auto"/>
        </w:rPr>
      </w:pPr>
      <w:r>
        <w:rPr>
          <w:rFonts w:ascii="Arial" w:cs="Arial" w:eastAsia="Arial" w:hAnsi="Arial"/>
          <w:sz w:val="17"/>
          <w:szCs w:val="17"/>
          <w:color w:val="auto"/>
        </w:rPr>
        <w:t>of preexisting antibodies that detect viral vectors and trigger the immune system to destroy the vector and cells infected by the vector.</w:t>
      </w:r>
    </w:p>
    <w:p>
      <w:pPr>
        <w:spacing w:after="0" w:line="156" w:lineRule="exact"/>
        <w:rPr>
          <w:sz w:val="20"/>
          <w:szCs w:val="20"/>
          <w:color w:val="auto"/>
        </w:rPr>
      </w:pPr>
    </w:p>
    <w:p>
      <w:pPr>
        <w:ind w:left="960" w:right="120" w:hanging="41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Restoration of protein function. </w:t>
      </w:r>
      <w:r>
        <w:rPr>
          <w:rFonts w:ascii="Arial" w:cs="Arial" w:eastAsia="Arial" w:hAnsi="Arial"/>
          <w:sz w:val="18"/>
          <w:szCs w:val="18"/>
          <w:color w:val="auto"/>
        </w:rPr>
        <w:t>By contrast to the standard-of-care enzyme replacement therapy, which seeks to clear toxic substrate as a key</w:t>
      </w:r>
      <w:r>
        <w:rPr>
          <w:rFonts w:ascii="Arial" w:cs="Arial" w:eastAsia="Arial" w:hAnsi="Arial"/>
          <w:sz w:val="18"/>
          <w:szCs w:val="18"/>
          <w:i w:val="1"/>
          <w:iCs w:val="1"/>
          <w:color w:val="auto"/>
        </w:rPr>
        <w:t xml:space="preserve"> </w:t>
      </w:r>
      <w:r>
        <w:rPr>
          <w:rFonts w:ascii="Arial" w:cs="Arial" w:eastAsia="Arial" w:hAnsi="Arial"/>
          <w:sz w:val="18"/>
          <w:szCs w:val="18"/>
          <w:color w:val="auto"/>
        </w:rPr>
        <w:t>symptom of a non-functioning gene, restoration of gene function may deliver a wide array of additional biochemical benefits throughout the body.</w:t>
      </w:r>
    </w:p>
    <w:p>
      <w:pPr>
        <w:spacing w:after="0" w:line="75" w:lineRule="exact"/>
        <w:rPr>
          <w:rFonts w:ascii="Arial" w:cs="Arial" w:eastAsia="Arial" w:hAnsi="Arial"/>
          <w:sz w:val="18"/>
          <w:szCs w:val="18"/>
          <w:color w:val="auto"/>
        </w:rPr>
      </w:pPr>
    </w:p>
    <w:p>
      <w:pPr>
        <w:ind w:left="960" w:right="180" w:hanging="412"/>
        <w:spacing w:after="0" w:line="311"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History of tolerability in clinical trials. </w:t>
      </w:r>
      <w:r>
        <w:rPr>
          <w:rFonts w:ascii="Arial" w:cs="Arial" w:eastAsia="Arial" w:hAnsi="Arial"/>
          <w:sz w:val="16"/>
          <w:szCs w:val="16"/>
          <w:color w:val="auto"/>
        </w:rPr>
        <w:t>To our knowledge, no instances of insertional oncogenesis or leukemogenesis from lentiviral vectors</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documented in clinical trials of lentiviral gene therapies, with more than 350 total patients treated. To date, we have not seen any unexpected safety events in 14 patients across our four clinical trials, with the longest follow-up more than 3.5 years to date.</w:t>
      </w:r>
    </w:p>
    <w:p>
      <w:pPr>
        <w:spacing w:after="0" w:line="40" w:lineRule="exact"/>
        <w:rPr>
          <w:rFonts w:ascii="Arial" w:cs="Arial" w:eastAsia="Arial" w:hAnsi="Arial"/>
          <w:sz w:val="16"/>
          <w:szCs w:val="16"/>
          <w:color w:val="auto"/>
        </w:rPr>
      </w:pPr>
    </w:p>
    <w:p>
      <w:pPr>
        <w:ind w:left="960" w:right="100" w:hanging="41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Larger and varied payloads. </w:t>
      </w:r>
      <w:r>
        <w:rPr>
          <w:rFonts w:ascii="Arial" w:cs="Arial" w:eastAsia="Arial" w:hAnsi="Arial"/>
          <w:sz w:val="18"/>
          <w:szCs w:val="18"/>
          <w:color w:val="auto"/>
        </w:rPr>
        <w:t>In contrast to other viral vectors, lentiviral vectors have the capacity to carry larger gene sequences, which allow</w:t>
      </w:r>
      <w:r>
        <w:rPr>
          <w:rFonts w:ascii="Arial" w:cs="Arial" w:eastAsia="Arial" w:hAnsi="Arial"/>
          <w:sz w:val="18"/>
          <w:szCs w:val="18"/>
          <w:i w:val="1"/>
          <w:iCs w:val="1"/>
          <w:color w:val="auto"/>
        </w:rPr>
        <w:t xml:space="preserve"> </w:t>
      </w:r>
      <w:r>
        <w:rPr>
          <w:rFonts w:ascii="Arial" w:cs="Arial" w:eastAsia="Arial" w:hAnsi="Arial"/>
          <w:sz w:val="18"/>
          <w:szCs w:val="18"/>
          <w:color w:val="auto"/>
        </w:rPr>
        <w:t>them to potentially address a large variety of indications.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Strategic Selection of Our Initial Indications</w:t>
      </w:r>
    </w:p>
    <w:p>
      <w:pPr>
        <w:spacing w:after="0" w:line="117" w:lineRule="exact"/>
        <w:rPr>
          <w:sz w:val="20"/>
          <w:szCs w:val="20"/>
          <w:color w:val="auto"/>
        </w:rPr>
      </w:pPr>
    </w:p>
    <w:p>
      <w:pPr>
        <w:ind w:right="100" w:firstLine="546"/>
        <w:spacing w:after="0" w:line="255" w:lineRule="auto"/>
        <w:rPr>
          <w:sz w:val="20"/>
          <w:szCs w:val="20"/>
          <w:color w:val="auto"/>
        </w:rPr>
      </w:pPr>
      <w:r>
        <w:rPr>
          <w:rFonts w:ascii="Arial" w:cs="Arial" w:eastAsia="Arial" w:hAnsi="Arial"/>
          <w:sz w:val="18"/>
          <w:szCs w:val="18"/>
          <w:color w:val="auto"/>
        </w:rPr>
        <w:t>There are approximately 50 identified lysosomal disorders, which are characterized by an abnormal toxic build-up of substrates and their metabolites in the body’s cells. We are currently targeting Fabry disease, cystinosis, Gaucher disease type 1, Hunter syndrome, Gaucher disease type 3 and Pompe disease. Each of these disorders affects a meaningful number of patients, has a suboptimal standard of care with unmet medical need and, we believe, is appropriate for lentiviral-based gene therapy. We believe our approach has the potential to address the shortcomings of existing therapies that, despite chronic dosing, cannot halt or reverse disease progression, restore normal lifespan or adequately address symptoms arising in both the peripheral tissues and the central nervous system.</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Expanding the Utility of Lentiviral-Based Gene Therapy with TCI-Enabled Conditioning Regimen</w:t>
      </w:r>
    </w:p>
    <w:p>
      <w:pPr>
        <w:spacing w:after="0" w:line="117"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color w:val="auto"/>
        </w:rPr>
        <w:t>A core part of our approach is to expand the use of lentiviral-based gene therapy to treat numerous lysosomal disorders. We believe conditioning is an essential step to optimize these treatments as it is designed to clear space in the patient’s bone marrow and central nervous system for cells carrying the therapeutic gene. This maximizes the potential for their long-term engraftment which may enhance durability of therapeutic effect. We believe that we will be able to demonstrate durable effects in our targeted diseases utilizing a single myeloablative agent, busulfan, which we have transitioned to as part of implementing our plato platform.</w:t>
      </w:r>
    </w:p>
    <w:p>
      <w:pPr>
        <w:spacing w:after="0" w:line="188" w:lineRule="exact"/>
        <w:rPr>
          <w:sz w:val="20"/>
          <w:szCs w:val="20"/>
          <w:color w:val="auto"/>
        </w:rPr>
      </w:pPr>
    </w:p>
    <w:p>
      <w:pPr>
        <w:ind w:right="60" w:firstLine="546"/>
        <w:spacing w:after="0" w:line="289" w:lineRule="auto"/>
        <w:rPr>
          <w:sz w:val="20"/>
          <w:szCs w:val="20"/>
          <w:color w:val="auto"/>
        </w:rPr>
      </w:pPr>
      <w:r>
        <w:rPr>
          <w:rFonts w:ascii="Arial" w:cs="Arial" w:eastAsia="Arial" w:hAnsi="Arial"/>
          <w:sz w:val="16"/>
          <w:szCs w:val="16"/>
          <w:color w:val="auto"/>
        </w:rPr>
        <w:t>We have pioneered precision dosing of busulfan in gene therapy as a single agent in a single treatment cycle, with the goal of enhancing the patient experience. A body of research has identified an optimal exposure range for busulfan (Bu-90), which we plan to implement for the patients enrolled in our Company-sponsored clinical trials. Our approach is to personalize conditioning to each patient using TCI, a precision dosing program. TCI is designed to allow for continually controlled exposure by assessing via simple blood draws how rapidly the individual patient metabolizes busulfan, to inform further administration. Use of busulfan in a conditioning regimen causes adverse side effects and can transiently compromise the patient’s immune system, known as neutropenia, and ability to form blood clots, known as thrombocytopenia. The higher the level of conditioning, the greater the potential risk of more serious complications, such as veno-occlusive disease. However, we believe our approach to conditioning has the potential for reduced, predictable and manageable short- and long-term toxicities and maximized long-term engraftment. If realized, we believe these benefits may promote lentiviral-based gene therapy as a therapeutic option for less acutely severe diseases or diseases with approved therapies in which large unmet medical needs remain.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our approach has the potential to extend the reach of our gene therapies to a broad range of lysosomal disorders as first-line therapies.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plato: Our Commercial-Scale Platform</w:t>
      </w:r>
    </w:p>
    <w:p>
      <w:pPr>
        <w:spacing w:after="0" w:line="117"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 xml:space="preserve">In addition to developing first-line gene therapies, an important key to our strategy is to continuously improve our technology and production processes and to leverage these improvements across our gene therapies, if approved. Plato is designed to provide the foundation for the potential worldwide commercialization of our gene therapies. It is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platform incorporating multiple upgrades including a four-plasmid lentiviral vector designed to optimize vector copy number, transduction efficiency and resulting enzyme activity; a closed, automated manufacturing system designed to improve consistency and predictability of the drug product; and a personalized approach to conditioning using busulfan with TCI, which is designed to optimize safety and engraftment. We have submitted data on our upgraded lentiviral vector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line="257" w:lineRule="auto"/>
        <w:rPr>
          <w:sz w:val="20"/>
          <w:szCs w:val="20"/>
          <w:color w:val="auto"/>
        </w:rPr>
      </w:pPr>
      <w:r>
        <w:rPr>
          <w:rFonts w:ascii="Arial" w:cs="Arial" w:eastAsia="Arial" w:hAnsi="Arial"/>
          <w:sz w:val="18"/>
          <w:szCs w:val="18"/>
          <w:color w:val="auto"/>
        </w:rPr>
        <w:t>automated manufacturing process to the applicable regulatory authorities in the United States and Canada, which allows us to incorporate such elements into our FAB-GT and Guard1 clinical trials in those jurisdictions and Australia. Plato has been used to dose a total of three patients in our clinical trials, and we intend to utilize the plato platform for all future patients enrolling in the FAB-GT and Guard1 clinical trials. We believe our plato platform may lead to better patient outcomes and will represent a significant advance in our industry towards achieving the quality and scale required for global commercialization of gene therapies.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plato platform is designed to feature:</w:t>
      </w:r>
    </w:p>
    <w:p>
      <w:pPr>
        <w:spacing w:after="0" w:line="117" w:lineRule="exact"/>
        <w:rPr>
          <w:sz w:val="20"/>
          <w:szCs w:val="20"/>
          <w:color w:val="auto"/>
        </w:rPr>
      </w:pPr>
    </w:p>
    <w:p>
      <w:pPr>
        <w:ind w:left="960" w:right="20" w:hanging="412"/>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Large scale vector production: </w:t>
      </w:r>
      <w:r>
        <w:rPr>
          <w:rFonts w:ascii="Arial" w:cs="Arial" w:eastAsia="Arial" w:hAnsi="Arial"/>
          <w:sz w:val="18"/>
          <w:szCs w:val="18"/>
          <w:color w:val="auto"/>
        </w:rPr>
        <w:t>We currently have manufacturing capabilities, through contract manufacturing organizations, or CMOs, at 200-liter bioreactor scale, with vector production capable of treating a substantial number of patients per year.</w:t>
      </w:r>
    </w:p>
    <w:p>
      <w:pPr>
        <w:spacing w:after="0" w:line="62" w:lineRule="exact"/>
        <w:rPr>
          <w:rFonts w:ascii="Arial" w:cs="Arial" w:eastAsia="Arial" w:hAnsi="Arial"/>
          <w:sz w:val="18"/>
          <w:szCs w:val="18"/>
          <w:color w:val="auto"/>
        </w:rPr>
      </w:pPr>
    </w:p>
    <w:p>
      <w:pPr>
        <w:ind w:left="960" w:right="20" w:hanging="412"/>
        <w:spacing w:after="0" w:line="25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Global reach</w:t>
      </w:r>
      <w:r>
        <w:rPr>
          <w:rFonts w:ascii="Arial" w:cs="Arial" w:eastAsia="Arial" w:hAnsi="Arial"/>
          <w:sz w:val="18"/>
          <w:szCs w:val="18"/>
          <w:color w:val="auto"/>
        </w:rPr>
        <w:t>: Our automated, closed system for manufacturing is designed to allow for the flexible production of our gene therapies.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automated, closed manufacturing system is portable with proprietary AVROBIO algorithms which allow for efficient establishment of manufacturing capabilities in multiple geographies that can be expanded or adjusted as our global supply requirements evolve. We believe this approach will facilitate global manufacturing and shipping of our gene therapies, and will promote access to our products by patients and caregivers.</w:t>
      </w:r>
    </w:p>
    <w:p>
      <w:pPr>
        <w:spacing w:after="0" w:line="79" w:lineRule="exact"/>
        <w:rPr>
          <w:rFonts w:ascii="Arial" w:cs="Arial" w:eastAsia="Arial" w:hAnsi="Arial"/>
          <w:sz w:val="18"/>
          <w:szCs w:val="18"/>
          <w:color w:val="auto"/>
        </w:rPr>
      </w:pPr>
    </w:p>
    <w:p>
      <w:pPr>
        <w:ind w:left="960" w:right="40" w:hanging="412"/>
        <w:spacing w:after="0" w:line="286"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Quality of manufacturing</w:t>
      </w:r>
      <w:r>
        <w:rPr>
          <w:rFonts w:ascii="Arial" w:cs="Arial" w:eastAsia="Arial" w:hAnsi="Arial"/>
          <w:sz w:val="17"/>
          <w:szCs w:val="17"/>
          <w:color w:val="auto"/>
        </w:rPr>
        <w:t>: Our platform is designed to utilize current good manufacturing practices, or cGMP, and we believe our automated,</w:t>
      </w:r>
      <w:r>
        <w:rPr>
          <w:rFonts w:ascii="Arial" w:cs="Arial" w:eastAsia="Arial" w:hAnsi="Arial"/>
          <w:sz w:val="17"/>
          <w:szCs w:val="17"/>
          <w:i w:val="1"/>
          <w:iCs w:val="1"/>
          <w:color w:val="auto"/>
        </w:rPr>
        <w:t xml:space="preserve"> </w:t>
      </w:r>
      <w:r>
        <w:rPr>
          <w:rFonts w:ascii="Arial" w:cs="Arial" w:eastAsia="Arial" w:hAnsi="Arial"/>
          <w:sz w:val="17"/>
          <w:szCs w:val="17"/>
          <w:color w:val="auto"/>
        </w:rPr>
        <w:t>closed manufacturing system may result in less production variability and reduce the risk of operator error, while enhancing the potency of the drug product. We believe these features will improve the quality of our gene therapies that are produced.</w:t>
      </w:r>
    </w:p>
    <w:p>
      <w:pPr>
        <w:spacing w:after="0" w:line="57" w:lineRule="exact"/>
        <w:rPr>
          <w:rFonts w:ascii="Arial" w:cs="Arial" w:eastAsia="Arial" w:hAnsi="Arial"/>
          <w:sz w:val="17"/>
          <w:szCs w:val="17"/>
          <w:color w:val="auto"/>
        </w:rPr>
      </w:pPr>
    </w:p>
    <w:p>
      <w:pPr>
        <w:ind w:left="960" w:right="20" w:hanging="412"/>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Patient convenience</w:t>
      </w:r>
      <w:r>
        <w:rPr>
          <w:rFonts w:ascii="Arial" w:cs="Arial" w:eastAsia="Arial" w:hAnsi="Arial"/>
          <w:sz w:val="18"/>
          <w:szCs w:val="18"/>
          <w:color w:val="auto"/>
        </w:rPr>
        <w:t>: Our gene therapies are cryopreserved, which is a feature designed to promote a longer shelf-life. We believe that a longer</w:t>
      </w:r>
      <w:r>
        <w:rPr>
          <w:rFonts w:ascii="Arial" w:cs="Arial" w:eastAsia="Arial" w:hAnsi="Arial"/>
          <w:sz w:val="18"/>
          <w:szCs w:val="18"/>
          <w:i w:val="1"/>
          <w:iCs w:val="1"/>
          <w:color w:val="auto"/>
        </w:rPr>
        <w:t xml:space="preserve"> </w:t>
      </w:r>
      <w:r>
        <w:rPr>
          <w:rFonts w:ascii="Arial" w:cs="Arial" w:eastAsia="Arial" w:hAnsi="Arial"/>
          <w:sz w:val="18"/>
          <w:szCs w:val="18"/>
          <w:color w:val="auto"/>
        </w:rPr>
        <w:t>shelf-life will allow patients and clinics to schedule treatment sessions with greater convenience.</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Cost containment</w:t>
      </w:r>
      <w:r>
        <w:rPr>
          <w:rFonts w:ascii="Arial" w:cs="Arial" w:eastAsia="Arial" w:hAnsi="Arial"/>
          <w:sz w:val="17"/>
          <w:szCs w:val="17"/>
          <w:color w:val="auto"/>
        </w:rPr>
        <w:t>: Our platform is designed to control fixed and variable expenses associated with manufacturing our gene therapies.</w:t>
      </w:r>
    </w:p>
    <w:p>
      <w:pPr>
        <w:spacing w:after="0" w:line="26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 believe the plato platform will form the backbone of our future commercialization efforts and our goal to take gene therapy mainstream.</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Next Generation Vector Technology</w:t>
      </w:r>
    </w:p>
    <w:p>
      <w:pPr>
        <w:spacing w:after="0" w:line="117" w:lineRule="exact"/>
        <w:rPr>
          <w:sz w:val="20"/>
          <w:szCs w:val="20"/>
          <w:color w:val="auto"/>
        </w:rPr>
      </w:pPr>
    </w:p>
    <w:p>
      <w:pPr>
        <w:ind w:right="100" w:firstLine="546"/>
        <w:spacing w:after="0" w:line="273" w:lineRule="auto"/>
        <w:rPr>
          <w:sz w:val="20"/>
          <w:szCs w:val="20"/>
          <w:color w:val="auto"/>
        </w:rPr>
      </w:pPr>
      <w:r>
        <w:rPr>
          <w:rFonts w:ascii="Arial" w:cs="Arial" w:eastAsia="Arial" w:hAnsi="Arial"/>
          <w:sz w:val="17"/>
          <w:szCs w:val="17"/>
          <w:color w:val="auto"/>
        </w:rPr>
        <w:t>We have utilized our core expertise in the development and optimization of lentiviral vectors to improve the vectors used in our gene therapies. We have made and expect to continue to make enhancements to our lentiviral vectors to improve safety, efficacy and efficiency. For example, clinical trials of AVR-RD-01 have primarily utilized our original academic three-plasmid-produced lentiviral vector, which we refer to as LV1. However, we dosed the fourth and fifth patient in our ongoing FAB-GT clinical trial of AVR-RD-01 and the first patient in our ongoing Guard1 clinical trial of AVR-RD-02 using our proprietary four-plasmid lentiviral vector, which we refer to as LV2, and expect to dose all future patients in these trials with LV2. Our goal is to employ vectors that are state-of-the-art and that can be produced in a cost-effective and scalable manner.</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Automated, Closed Manufacturing System</w:t>
      </w:r>
    </w:p>
    <w:p>
      <w:pPr>
        <w:spacing w:after="0" w:line="117" w:lineRule="exact"/>
        <w:rPr>
          <w:sz w:val="20"/>
          <w:szCs w:val="20"/>
          <w:color w:val="auto"/>
        </w:rPr>
      </w:pPr>
    </w:p>
    <w:p>
      <w:pPr>
        <w:ind w:right="120" w:firstLine="546"/>
        <w:spacing w:after="0" w:line="272" w:lineRule="auto"/>
        <w:rPr>
          <w:sz w:val="20"/>
          <w:szCs w:val="20"/>
          <w:color w:val="auto"/>
        </w:rPr>
      </w:pPr>
      <w:r>
        <w:rPr>
          <w:rFonts w:ascii="Arial" w:cs="Arial" w:eastAsia="Arial" w:hAnsi="Arial"/>
          <w:sz w:val="17"/>
          <w:szCs w:val="17"/>
          <w:color w:val="auto"/>
        </w:rPr>
        <w:t>Our team has significant experience in cell processing and commercial-scale cellular therapy manufacturing. We have developed and are implementing a detailed plan for more cost efficient and scalable manufacturing of our gene therapies. In contrast to a number of other gene therapy companies that have not developed their commercial scale plans from the outset, we have executed on our plans to move to a closed suspension bioreactor system for vector production, as well as a closed, automated system for manufacturing our gene therapy product. Our move to a closed, automated manufacturing system was completed in 2019 as part of implementing upgrades from our plato platform, and the fourth and fifth patients in our ongoing FAB-GT clinical trial of AVR-RD-01 and the first patient in our ongoing Guard1 clinical trial of AVR-RD-02 were each dosed using this system. We believe our plato platform features the first automated, closed manufacturing system in CD34+ gene therapy.</w:t>
      </w:r>
    </w:p>
    <w:p>
      <w:pPr>
        <w:spacing w:after="0" w:line="177" w:lineRule="exact"/>
        <w:rPr>
          <w:sz w:val="20"/>
          <w:szCs w:val="20"/>
          <w:color w:val="auto"/>
        </w:rPr>
      </w:pPr>
    </w:p>
    <w:p>
      <w:pPr>
        <w:ind w:right="460" w:firstLine="546"/>
        <w:spacing w:after="0" w:line="277" w:lineRule="auto"/>
        <w:rPr>
          <w:sz w:val="20"/>
          <w:szCs w:val="20"/>
          <w:color w:val="auto"/>
        </w:rPr>
      </w:pPr>
      <w:r>
        <w:rPr>
          <w:rFonts w:ascii="Arial" w:cs="Arial" w:eastAsia="Arial" w:hAnsi="Arial"/>
          <w:sz w:val="18"/>
          <w:szCs w:val="18"/>
          <w:color w:val="auto"/>
        </w:rPr>
        <w:t>Our manufacturing approach is intended to allow for the production of drug product using relatively small, self-contained devices, which may reduce our reliance on large traditional clean rooms that are expensive to establish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both"/>
        <w:ind w:right="160"/>
        <w:spacing w:after="0" w:line="263" w:lineRule="auto"/>
        <w:rPr>
          <w:sz w:val="20"/>
          <w:szCs w:val="20"/>
          <w:color w:val="auto"/>
        </w:rPr>
      </w:pPr>
      <w:r>
        <w:rPr>
          <w:rFonts w:ascii="Arial" w:cs="Arial" w:eastAsia="Arial" w:hAnsi="Arial"/>
          <w:sz w:val="18"/>
          <w:szCs w:val="18"/>
          <w:color w:val="auto"/>
        </w:rPr>
        <w:t>maintain. We believe our manufacturing approach may result in greater flexibility in the location of manufacture and help to control costs associated with traditional manufacturing. In addition, we believe our automated manufacturing process may reduce operator error and yield greater consistency and less variability in the manufactured drug product.</w:t>
      </w:r>
    </w:p>
    <w:p>
      <w:pPr>
        <w:spacing w:after="0" w:line="184"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color w:val="auto"/>
        </w:rPr>
        <w:t>We currently have one CMO partner in the United States and two partners in Australia for the production of AVR-RD-01 and AVR-RD-02 drug product. We also are in the process of establishing a CMO partnership in Europe.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Optimization of Conditioning Regimen</w:t>
      </w:r>
    </w:p>
    <w:p>
      <w:pPr>
        <w:spacing w:after="0" w:line="117"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 xml:space="preserve">The conditioning regimen that we first employed utilized melphalan, a common chemotherapy drug, to ablate the patient’s bone marrow. As part of the upgrades to our plato platform, we transitioned to utilizing busulfan, another chemotherapy drug, that has been in use since the 1950’s. Busulfan is indicated for use in combination with cyclophosphamide as a conditioning regimen prior to allogeneic stem cell transplantation for chronic myeloid leukemia. Busulfan is routinely used in conditioning regimens before allogeneic stem cell transplantations for both malignant and non-malignant conditions. It has also been used as a single-agent, or in combination with an immunosuppressive agent, such as cyclophosphamide, in conditioning regimens prior to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transplants.</w:t>
      </w:r>
    </w:p>
    <w:p>
      <w:pPr>
        <w:spacing w:after="0" w:line="192"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auto"/>
        </w:rPr>
        <w:t>We believe that the transition to busulfan for our conditioning regimen may confer several advantages. For example, busulfan will permit utilization of TCI in our conditioning regimen, thereby enabling physicians to personalize the dosing to each patient by titrating over four days to potentially enhance patient tolerability to the conditioning procedure and promote cell engraftment. By contrast, melphalan is administered once with no TCI, and may cause concern of conditioning-related toxicity across patients due to individual differences in metabolism of the drug. In addition, we believe that the utilization of busulfan in our single-agent myeloablative conditioning regimen has the potential to allow our gene therapies to cross the blood-brain barrier, a feature which may yield therapeutic benefit in diseases that have a central nervous system component, such as Fabry disease, Gaucher disease type 3, Hunter syndrome, Pompe disease and other rare and non-rare diseases. Finally, our busulfan conditioning regimen is designed to create more space in the ablated bone marrow compared to melphalan and may increase the average VCN of the patient bone marrow following treatment with the drug product, which are features that we believe will promote better cell engraftment and durability of the gene therapy.</w:t>
      </w:r>
    </w:p>
    <w:p>
      <w:pPr>
        <w:spacing w:after="0" w:line="166"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 xml:space="preserve">We are aware that there have been cases of therapy-related myelodysplastic syndrome, or t-MDS, a type of blood disorder that is a potential precursor to acute myeloid leukemia, in patients with preexisting cancer where busulfan treatment was posited to be a contributing factor to this secondary malignancy. However, we have reviewed over 700 published cases of busulfan exposure preceding bone marrow transplant, hematopoietic cell transplant, or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for non-malignant indications, of which 649 were from peer-reviewed literature. Based on our review of these cases, we found only one case of t-MDS, which involved a report from December 2018 that a patient with preexisting sickle cell disease developed t-MDS. In that case, busulfan treatment was posited to be a contributing factor. We believe that due to the presence of other confounding factors in the patient, the cause of that patient’s t-MDS has not been conclusively determined. In response to these potential risks, we are investigating a plan to potentially implement molecular cytogenetic screening.</w:t>
      </w:r>
    </w:p>
    <w:p>
      <w:pPr>
        <w:spacing w:after="0" w:line="192" w:lineRule="exact"/>
        <w:rPr>
          <w:sz w:val="20"/>
          <w:szCs w:val="20"/>
          <w:color w:val="auto"/>
        </w:rPr>
      </w:pPr>
    </w:p>
    <w:p>
      <w:pPr>
        <w:ind w:right="220" w:firstLine="546"/>
        <w:spacing w:after="0" w:line="259" w:lineRule="auto"/>
        <w:rPr>
          <w:sz w:val="20"/>
          <w:szCs w:val="20"/>
          <w:color w:val="auto"/>
        </w:rPr>
      </w:pPr>
      <w:r>
        <w:rPr>
          <w:rFonts w:ascii="Arial" w:cs="Arial" w:eastAsia="Arial" w:hAnsi="Arial"/>
          <w:sz w:val="18"/>
          <w:szCs w:val="18"/>
          <w:color w:val="auto"/>
        </w:rPr>
        <w:t>While the busulfan conditioning regimen is more intensive than the original conditioning regimen that utilizes melphalan, we believe it is still milder than some of the more aggressive conditioning regimens associated with gene therapies for other diseases, such as when busulfan is used in combination with cyclophosphamide, used at a higher dose, or when TCI is not applied. Furthermore, we believe our conditioning regimen may produce the desired effect while potentially allowing for a limited hospital stay.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plato Data</w:t>
      </w:r>
    </w:p>
    <w:p>
      <w:pPr>
        <w:spacing w:after="0" w:line="117" w:lineRule="exact"/>
        <w:rPr>
          <w:sz w:val="20"/>
          <w:szCs w:val="20"/>
          <w:color w:val="auto"/>
        </w:rPr>
      </w:pPr>
    </w:p>
    <w:p>
      <w:pPr>
        <w:ind w:right="120" w:firstLine="546"/>
        <w:spacing w:after="0" w:line="257" w:lineRule="auto"/>
        <w:rPr>
          <w:sz w:val="20"/>
          <w:szCs w:val="20"/>
          <w:color w:val="auto"/>
        </w:rPr>
      </w:pPr>
      <w:r>
        <w:rPr>
          <w:rFonts w:ascii="Arial" w:cs="Arial" w:eastAsia="Arial" w:hAnsi="Arial"/>
          <w:sz w:val="18"/>
          <w:szCs w:val="18"/>
          <w:color w:val="auto"/>
        </w:rPr>
        <w:t>In February 2021, we announced data from the fourth patient dosed in our ongoing FAB-GT clinical trial of AVR-RD-01, who was the first patient dosed using our plato platform. At 12-months post-gene therapy, this patient exhibited plasma and leukocyte AGA enzyme levels that were 4.2x and 6.3x higher, respectively, than the mean plasma and leukocyte AGA activity levels of the other three dosed patients in the FAB-GT clinical trial measured as of 12-months post-gene therapy. Additionally, the fourth patient’s kidney biopsy taken at 12 months post-treatment showed a 100% clearance of Gb3 substrate.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ind w:left="560"/>
        <w:spacing w:after="0"/>
        <w:rPr>
          <w:sz w:val="20"/>
          <w:szCs w:val="20"/>
          <w:color w:val="auto"/>
        </w:rPr>
      </w:pPr>
      <w:r>
        <w:rPr>
          <w:rFonts w:ascii="Arial" w:cs="Arial" w:eastAsia="Arial" w:hAnsi="Arial"/>
          <w:sz w:val="18"/>
          <w:szCs w:val="18"/>
          <w:b w:val="1"/>
          <w:bCs w:val="1"/>
          <w:i w:val="1"/>
          <w:iCs w:val="1"/>
          <w:color w:val="auto"/>
        </w:rPr>
        <w:t>Advantages of Our Approach over Existing Therapies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our gene therapy solutions offer several potential advantages over existing therapies for lysosomal disorders, including:</w:t>
      </w:r>
    </w:p>
    <w:p>
      <w:pPr>
        <w:spacing w:after="0" w:line="117" w:lineRule="exact"/>
        <w:rPr>
          <w:sz w:val="20"/>
          <w:szCs w:val="20"/>
          <w:color w:val="auto"/>
        </w:rPr>
      </w:pPr>
    </w:p>
    <w:p>
      <w:pPr>
        <w:ind w:left="960" w:right="120" w:hanging="412"/>
        <w:spacing w:after="0" w:line="293"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Curative impact that has the potential to halt or reverse disease progression. </w:t>
      </w:r>
      <w:r>
        <w:rPr>
          <w:rFonts w:ascii="Arial" w:cs="Arial" w:eastAsia="Arial" w:hAnsi="Arial"/>
          <w:sz w:val="16"/>
          <w:szCs w:val="16"/>
          <w:color w:val="auto"/>
        </w:rPr>
        <w:t>Existing ERTs for Fabry, Gaucher, Hunter and Pompe, and oral</w:t>
      </w:r>
      <w:r>
        <w:rPr>
          <w:rFonts w:ascii="Arial" w:cs="Arial" w:eastAsia="Arial" w:hAnsi="Arial"/>
          <w:sz w:val="16"/>
          <w:szCs w:val="16"/>
          <w:i w:val="1"/>
          <w:iCs w:val="1"/>
          <w:color w:val="auto"/>
        </w:rPr>
        <w:t xml:space="preserve"> </w:t>
      </w:r>
      <w:r>
        <w:rPr>
          <w:rFonts w:ascii="Arial" w:cs="Arial" w:eastAsia="Arial" w:hAnsi="Arial"/>
          <w:sz w:val="16"/>
          <w:szCs w:val="16"/>
          <w:color w:val="auto"/>
        </w:rPr>
        <w:t>therapies for cystinosis, provide some therapeutic benefit to patients. However, because of their suboptimal pharmacokinetics, these ERTs only transiently increase plasma enzyme levels and the therapies for cystinosis require multiple doses throughout the day. In contrast, our lentiviral-based gene therapies are designed to enable the body to constantly produce the functional enzyme or other protein. This can potentially halt pathological damage and, depending on the targeted indication and organ system, may even reverse disease progression. Our lentiviral-based gene therapies may provide potentially curative treatment to patients. This concept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113665</wp:posOffset>
            </wp:positionV>
            <wp:extent cx="5212080" cy="2108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60" w:hanging="412"/>
        <w:spacing w:after="0" w:line="259"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Durable, single-dose treatment. </w:t>
      </w:r>
      <w:r>
        <w:rPr>
          <w:rFonts w:ascii="Arial" w:cs="Arial" w:eastAsia="Arial" w:hAnsi="Arial"/>
          <w:sz w:val="18"/>
          <w:szCs w:val="18"/>
          <w:color w:val="auto"/>
        </w:rPr>
        <w:t>Our gene therapies offer the potential for a single dose to replace life-long, bi-weekly infusions or daily oral</w:t>
      </w:r>
      <w:r>
        <w:rPr>
          <w:rFonts w:ascii="Arial" w:cs="Arial" w:eastAsia="Arial" w:hAnsi="Arial"/>
          <w:sz w:val="18"/>
          <w:szCs w:val="18"/>
          <w:i w:val="1"/>
          <w:iCs w:val="1"/>
          <w:color w:val="auto"/>
        </w:rPr>
        <w:t xml:space="preserve"> </w:t>
      </w:r>
      <w:r>
        <w:rPr>
          <w:rFonts w:ascii="Arial" w:cs="Arial" w:eastAsia="Arial" w:hAnsi="Arial"/>
          <w:sz w:val="18"/>
          <w:szCs w:val="18"/>
          <w:color w:val="auto"/>
        </w:rPr>
        <w:t>therapies that are often accompanied by numerous side effects and impact patients’ quality of life. Our gene therapies are designed to transform the patient’s own cells into a drug product that enables the continuous delivery of functional enzyme or other protein throughout the body after a single dose.</w:t>
      </w:r>
    </w:p>
    <w:p>
      <w:pPr>
        <w:spacing w:after="0" w:line="78" w:lineRule="exact"/>
        <w:rPr>
          <w:rFonts w:ascii="Arial" w:cs="Arial" w:eastAsia="Arial" w:hAnsi="Arial"/>
          <w:sz w:val="18"/>
          <w:szCs w:val="18"/>
          <w:color w:val="auto"/>
        </w:rPr>
      </w:pPr>
    </w:p>
    <w:p>
      <w:pPr>
        <w:ind w:left="960" w:right="20" w:hanging="412"/>
        <w:spacing w:after="0" w:line="31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Reduced treatment cost over a patient’s lifetime. </w:t>
      </w:r>
      <w:r>
        <w:rPr>
          <w:rFonts w:ascii="Arial" w:cs="Arial" w:eastAsia="Arial" w:hAnsi="Arial"/>
          <w:sz w:val="16"/>
          <w:szCs w:val="16"/>
          <w:color w:val="auto"/>
        </w:rPr>
        <w:t>Existing ERTs and oral therapies can cost millions of dollars over a patient’s lifetime because</w:t>
      </w:r>
      <w:r>
        <w:rPr>
          <w:rFonts w:ascii="Arial" w:cs="Arial" w:eastAsia="Arial" w:hAnsi="Arial"/>
          <w:sz w:val="16"/>
          <w:szCs w:val="16"/>
          <w:i w:val="1"/>
          <w:iCs w:val="1"/>
          <w:color w:val="auto"/>
        </w:rPr>
        <w:t xml:space="preserve"> </w:t>
      </w:r>
      <w:r>
        <w:rPr>
          <w:rFonts w:ascii="Arial" w:cs="Arial" w:eastAsia="Arial" w:hAnsi="Arial"/>
          <w:sz w:val="16"/>
          <w:szCs w:val="16"/>
          <w:color w:val="auto"/>
        </w:rPr>
        <w:t>these therapies require frequent doses of expensive treatments to manage symptoms. Our single-dose gene therapies are designed to replace the costly chronic intravenous and oral therapies that are the current standard of care for patients with lysosomal disorders.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AVR-RD-01, Our Gene Therapy for Fabry Disease</w:t>
      </w:r>
    </w:p>
    <w:p>
      <w:pPr>
        <w:spacing w:after="0" w:line="121" w:lineRule="exact"/>
        <w:rPr>
          <w:sz w:val="20"/>
          <w:szCs w:val="20"/>
          <w:color w:val="auto"/>
        </w:rPr>
      </w:pPr>
    </w:p>
    <w:p>
      <w:pPr>
        <w:ind w:right="200" w:firstLine="546"/>
        <w:spacing w:after="0" w:line="259" w:lineRule="auto"/>
        <w:rPr>
          <w:sz w:val="20"/>
          <w:szCs w:val="20"/>
          <w:color w:val="auto"/>
        </w:rPr>
      </w:pPr>
      <w:r>
        <w:rPr>
          <w:rFonts w:ascii="Arial" w:cs="Arial" w:eastAsia="Arial" w:hAnsi="Arial"/>
          <w:sz w:val="18"/>
          <w:szCs w:val="18"/>
          <w:color w:val="auto"/>
        </w:rPr>
        <w:t>We are developing AVR-RD-01 for the treatment of Fabry disease. We manufacture AVR-RD-01 from stem cells that are first harvested from the patient, modified to add the gene that encodes for AGA, and then infused into the patient. AVR-RD-01 is currently being evaluated in an investigator-sponsored Phase 1 clinical trial and a Company-sponsored Phase 2 clinical trial. A total of 10 patients have been dosed across both trials as of March 1, 2021.</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right="280" w:firstLine="546"/>
        <w:spacing w:after="0" w:line="291" w:lineRule="auto"/>
        <w:rPr>
          <w:sz w:val="20"/>
          <w:szCs w:val="20"/>
          <w:color w:val="auto"/>
        </w:rPr>
      </w:pPr>
      <w:r>
        <w:rPr>
          <w:rFonts w:ascii="Arial" w:cs="Arial" w:eastAsia="Arial" w:hAnsi="Arial"/>
          <w:sz w:val="16"/>
          <w:szCs w:val="16"/>
          <w:color w:val="auto"/>
        </w:rPr>
        <w:t>Fabry disease is a rare lysosomal disorder associated with significant morbidity and early mortality. It is caused by a gene defect that causes a deficiency of AGA, which breaks down a particular type of fat in the body’s cells known as globotriaosylceramide, or Gb3. As Gb3 and other related substrates increase in patients with Fabry disease, these become toxic to the patient’s cells. Gb3 and other glycosphingolipids accumulate and result in damage to the kidneys, heart and brain. Accumulation of Gb3 in tissues such as the heart and the vascular system can lead to life threatening vascular blockages and thus stroke and heart attacks. In addition, high levels of Gb3 substrate accumulation in the kidney can cause kidney failure. Gb3 can also accumulate in other tissues, such as the nervous system where it leads to debilitating pain. Due to end-stage renal disease and other life-threatening complications associated with Fabry disease, the average life expectancy in affected males is approximately 58 years of age.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4" w:name="page15"/>
    <w:bookmarkEnd w:id="14"/>
    <w:p>
      <w:pPr>
        <w:ind w:firstLine="546"/>
        <w:spacing w:after="0" w:line="259" w:lineRule="auto"/>
        <w:rPr>
          <w:sz w:val="20"/>
          <w:szCs w:val="20"/>
          <w:color w:val="auto"/>
        </w:rPr>
      </w:pPr>
      <w:r>
        <w:rPr>
          <w:rFonts w:ascii="Arial" w:cs="Arial" w:eastAsia="Arial" w:hAnsi="Arial"/>
          <w:sz w:val="18"/>
          <w:szCs w:val="18"/>
          <w:color w:val="auto"/>
        </w:rPr>
        <w:t>Most patients with Fabry disease begin experiencing chronic pain in childhood but are often not diagnosed with Fabry disease until their twenties, due to a broad variation in patient symptoms. Over 1,000 gene mutations associated with Fabry disease have been identified. It is estimated that Fabry disease is diagnosed in approximately one in 40,000 males and one in 118,000 females in the United States, but studies have suggested that a larger number of patients may be undiagnosed.</w:t>
      </w:r>
    </w:p>
    <w:p>
      <w:pPr>
        <w:spacing w:after="0" w:line="187"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Fabry disease is an X-linked disorder, meaning the gene that is responsible is located on the X chromosome. Because males have only one X chromosome, an abnormal copy of the gene that causes Fabry disease is sufficient to cause the disease. However, unlike other X-linked disorders, where female carriers of an abnormal gene are usually unaffected, Fabry disease also often causes significant morbidity in females who inherit one abnormal copy and one normal copy of the gene associated with the disease.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right="180" w:firstLine="546"/>
        <w:spacing w:after="0" w:line="293" w:lineRule="auto"/>
        <w:rPr>
          <w:sz w:val="20"/>
          <w:szCs w:val="20"/>
          <w:color w:val="auto"/>
        </w:rPr>
      </w:pPr>
      <w:r>
        <w:rPr>
          <w:rFonts w:ascii="Arial" w:cs="Arial" w:eastAsia="Arial" w:hAnsi="Arial"/>
          <w:sz w:val="16"/>
          <w:szCs w:val="16"/>
          <w:color w:val="auto"/>
        </w:rPr>
        <w:t>Fabry disease is primarily treated with periodic infusions of ERT consisting of AGA enzyme over the patient’s lifetime. The most commonly prescribed ERTs for Fabry disease are Fabrazyme, marketed by Sanofi Genzyme, and Replagal, marketed by Shire, which was acquired by Takeda Pharmaceutical Company Ltd. In 2020, Fabrazyme and Replagal generated worldwide net sales of approximately €817 million euros and ¥51.6 billion Japanese yen, respectively. We estimate that the average five-year cost to the healthcare system per Fabry patient prescribed standard of care treatment in the United States is approximately $1.7 million. In addition, because ERTs are not curative and only slow, but do not halt, the progression of disease, patients deteriorate and the healthcare system incurs significant costs associated with recurring medical interventions.</w:t>
      </w:r>
    </w:p>
    <w:p>
      <w:pPr>
        <w:spacing w:after="0" w:line="164"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color w:val="auto"/>
        </w:rPr>
        <w:t>Although ERT provides therapeutic benefit and can reduce Gb3 substrate levels and extend a patient’s life expectancy, ERT requires chronic infusions throughout the patient’s life. Patients prescribed ERT generally receive an infusion every other week. However, because of their suboptimal pharmacokinetics, ERTs only temporarily increase plasma enzyme levels. As a result, patients with Fabry disease prescribed ERT continue to have disease progression, including ongoing decline in renal function, potentially including renal failure, cardiovascular disease and ongoing debilitating pain including periods of severe pain crisis. Physicians report that patients have recurrence of symptoms as the therapeutic effect of ERT wanes between bi-weekly treatments.</w:t>
      </w:r>
    </w:p>
    <w:p>
      <w:pPr>
        <w:spacing w:after="0" w:line="192" w:lineRule="exact"/>
        <w:rPr>
          <w:sz w:val="20"/>
          <w:szCs w:val="20"/>
          <w:color w:val="auto"/>
        </w:rPr>
      </w:pPr>
    </w:p>
    <w:p>
      <w:pPr>
        <w:jc w:val="both"/>
        <w:ind w:right="240" w:firstLine="546"/>
        <w:spacing w:after="0" w:line="263" w:lineRule="auto"/>
        <w:rPr>
          <w:sz w:val="20"/>
          <w:szCs w:val="20"/>
          <w:color w:val="auto"/>
        </w:rPr>
      </w:pPr>
      <w:r>
        <w:rPr>
          <w:rFonts w:ascii="Arial" w:cs="Arial" w:eastAsia="Arial" w:hAnsi="Arial"/>
          <w:sz w:val="18"/>
          <w:szCs w:val="18"/>
          <w:color w:val="auto"/>
        </w:rPr>
        <w:t>Alternatives to ERT for patients with Fabry disease are limited. Galafold (migalastat), an oral therapy marketed by Amicus, was approved by the European Medicines Agency, or EMA, in May 2016, and by the FDA in August 2018. Amicus has reported that only 35% to 50% of the gene mutations associated with Fabry disease are amenable to migalastat.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20" w:firstLine="546"/>
        <w:spacing w:after="0" w:line="311" w:lineRule="auto"/>
        <w:rPr>
          <w:sz w:val="20"/>
          <w:szCs w:val="20"/>
          <w:color w:val="auto"/>
        </w:rPr>
      </w:pPr>
      <w:r>
        <w:rPr>
          <w:rFonts w:ascii="Arial" w:cs="Arial" w:eastAsia="Arial" w:hAnsi="Arial"/>
          <w:sz w:val="16"/>
          <w:szCs w:val="16"/>
          <w:color w:val="auto"/>
        </w:rPr>
        <w:t xml:space="preserve">We are developing AVR-RD-01 to halt or reverse disease progression and potentially provide a functional cure to patients with Fabry disease with a single dose of the patient’s own hematopoietic stem cells modified in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procedure. AVR-RD-01 is a lentiviral-based gene therapy that contains a codon-optimized human gene and is designed to maximize the likelihood of sustained AGA production by hematopoietic stem cells and their progeny.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AVR-RD-01 offers a promising treatment for Fabry disease for the following reasons:</w:t>
      </w:r>
    </w:p>
    <w:p>
      <w:pPr>
        <w:spacing w:after="0" w:line="117" w:lineRule="exact"/>
        <w:rPr>
          <w:sz w:val="20"/>
          <w:szCs w:val="20"/>
          <w:color w:val="auto"/>
        </w:rPr>
      </w:pPr>
    </w:p>
    <w:p>
      <w:pPr>
        <w:ind w:left="960" w:right="120" w:hanging="41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One-time delivery. </w:t>
      </w:r>
      <w:r>
        <w:rPr>
          <w:rFonts w:ascii="Arial" w:cs="Arial" w:eastAsia="Arial" w:hAnsi="Arial"/>
          <w:sz w:val="18"/>
          <w:szCs w:val="18"/>
          <w:color w:val="auto"/>
        </w:rPr>
        <w:t>Lentiviral-based gene therapy provides the potential to transform a patient’s own cells into a drug product that enables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 delivery of active enzyme throughout the body after a single dose.</w:t>
      </w:r>
    </w:p>
    <w:p>
      <w:pPr>
        <w:spacing w:after="0" w:line="62" w:lineRule="exact"/>
        <w:rPr>
          <w:rFonts w:ascii="Arial" w:cs="Arial" w:eastAsia="Arial" w:hAnsi="Arial"/>
          <w:sz w:val="18"/>
          <w:szCs w:val="18"/>
          <w:color w:val="auto"/>
        </w:rPr>
      </w:pPr>
    </w:p>
    <w:p>
      <w:pPr>
        <w:ind w:left="960" w:right="120" w:hanging="41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Proven biology. </w:t>
      </w:r>
      <w:r>
        <w:rPr>
          <w:rFonts w:ascii="Arial" w:cs="Arial" w:eastAsia="Arial" w:hAnsi="Arial"/>
          <w:sz w:val="18"/>
          <w:szCs w:val="18"/>
          <w:color w:val="auto"/>
        </w:rPr>
        <w:t>Years of observations of patients prescribed ERT indicate that even partial plasma AGA activity is associated with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outcomes. Increased AGA enzyme activity is able to reduce Gb3 levels in multiple cells and tissues supporting the ability of AGA in the plasma to enter lysosomes and degrade Gb3 in a process referred to as cross correction.</w:t>
      </w:r>
    </w:p>
    <w:p>
      <w:pPr>
        <w:spacing w:after="0" w:line="75" w:lineRule="exact"/>
        <w:rPr>
          <w:rFonts w:ascii="Arial" w:cs="Arial" w:eastAsia="Arial" w:hAnsi="Arial"/>
          <w:sz w:val="18"/>
          <w:szCs w:val="18"/>
          <w:color w:val="auto"/>
        </w:rPr>
      </w:pPr>
    </w:p>
    <w:p>
      <w:pPr>
        <w:ind w:left="960" w:hanging="412"/>
        <w:spacing w:after="0" w:line="259"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Wide therapeutic window. </w:t>
      </w:r>
      <w:r>
        <w:rPr>
          <w:rFonts w:ascii="Arial" w:cs="Arial" w:eastAsia="Arial" w:hAnsi="Arial"/>
          <w:sz w:val="18"/>
          <w:szCs w:val="18"/>
          <w:color w:val="auto"/>
        </w:rPr>
        <w:t>We believe that even partial enzyme activity, if continuous, has the potential to provide long-term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A wide range of levels of plasma AGA activity has been demonstrated to be both safe and effective in preclinical studies, reducing the need for precise regulation of enzyme expression levels and reinforcing that overexpression of AGA is not associated with increased safety risks.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 w:name="page16"/>
    <w:bookmarkEnd w:id="15"/>
    <w:p>
      <w:pPr>
        <w:ind w:left="960" w:right="240" w:hanging="412"/>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Mutation independent. </w:t>
      </w:r>
      <w:r>
        <w:rPr>
          <w:rFonts w:ascii="Arial" w:cs="Arial" w:eastAsia="Arial" w:hAnsi="Arial"/>
          <w:sz w:val="18"/>
          <w:szCs w:val="18"/>
          <w:color w:val="auto"/>
        </w:rPr>
        <w:t>AVR-RD-01 is designed to increase plasma and leukocyte AGA levels in a patient’s cells, regardless of which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1,000 specific mutations underlie the patient’s disease.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Ongoing Multicenter Investigator-Sponsored Clinical Trial</w:t>
      </w:r>
    </w:p>
    <w:p>
      <w:pPr>
        <w:spacing w:after="0" w:line="117"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In an ongoing Phase 1 clinical trial of AVR-RD-01 being conducted by the University Health Network, or UHN, and sponsored by Fabry Disease Clinical Research and Therapeutics, or FACTs, at three centers in Canada, a total of five patients with Fabry disease who have been treated with ERT for at least six months have been enrolled, and enrollment is complete. The protocol for this clinical trial originally provided that ERT for these patients would be suspended one month prior to receiving AVR-RD-01 and then resumed one month after the AVR-RD-01 treatment and continued at bi-weekly intervals. The trial protocol was subsequently amended to allow the investigator team, at their discretion, to discontinue ERT six months after treatment with AVR-RD-01. Three of the five patients in the clinical trial have discontinued the regular bi-weekly treatments with ERT and all three remain off ERT as of January 11, 2021.</w:t>
      </w:r>
    </w:p>
    <w:p>
      <w:pPr>
        <w:spacing w:after="0" w:line="195" w:lineRule="exact"/>
        <w:rPr>
          <w:sz w:val="20"/>
          <w:szCs w:val="20"/>
          <w:color w:val="auto"/>
        </w:rPr>
      </w:pPr>
    </w:p>
    <w:p>
      <w:pPr>
        <w:ind w:right="280" w:firstLine="546"/>
        <w:spacing w:after="0" w:line="263" w:lineRule="auto"/>
        <w:rPr>
          <w:sz w:val="20"/>
          <w:szCs w:val="20"/>
          <w:color w:val="auto"/>
        </w:rPr>
      </w:pPr>
      <w:r>
        <w:rPr>
          <w:rFonts w:ascii="Arial" w:cs="Arial" w:eastAsia="Arial" w:hAnsi="Arial"/>
          <w:sz w:val="18"/>
          <w:szCs w:val="18"/>
          <w:color w:val="auto"/>
        </w:rPr>
        <w:t>The primary goal for this clinical trial is to assess the safety and toxicity of AVR-RD-01 as measured by the frequency or severity of clinically notable abnormal vital signs and laboratory values and the frequency or severity of treatment-related adverse events. The safety of our initial, academic-based conditioning regimen is also being assessed in this clinical trial.</w:t>
      </w:r>
    </w:p>
    <w:p>
      <w:pPr>
        <w:spacing w:after="0" w:line="184" w:lineRule="exact"/>
        <w:rPr>
          <w:sz w:val="20"/>
          <w:szCs w:val="20"/>
          <w:color w:val="auto"/>
        </w:rPr>
      </w:pPr>
    </w:p>
    <w:p>
      <w:pPr>
        <w:ind w:right="220" w:firstLine="546"/>
        <w:spacing w:after="0" w:line="257" w:lineRule="auto"/>
        <w:rPr>
          <w:sz w:val="20"/>
          <w:szCs w:val="20"/>
          <w:color w:val="auto"/>
        </w:rPr>
      </w:pPr>
      <w:r>
        <w:rPr>
          <w:rFonts w:ascii="Arial" w:cs="Arial" w:eastAsia="Arial" w:hAnsi="Arial"/>
          <w:sz w:val="18"/>
          <w:szCs w:val="18"/>
          <w:color w:val="auto"/>
        </w:rPr>
        <w:t>A secondary objective for this clinical trial is to obtain preliminary efficacy signals of AVR-RD-01 therapy as assessed by AGA enzyme activity. Plasma and leukocyte AGA enzyme activity derived from administration of ERT decreases rapidly after administration with no residual plasma or leukocyte activity remaining approximately one day after treatment. To evaluate the ability of AVR-RD-01 to increase enzyme activity, the level of AGA activity was assessed in a patient immediately prior to the administration of the patient’s next dose of ERT, when limited or no plasma or leukocyte AGA activity from previously-administered ERT dose would be expected.</w:t>
      </w:r>
    </w:p>
    <w:p>
      <w:pPr>
        <w:spacing w:after="0" w:line="188" w:lineRule="exact"/>
        <w:rPr>
          <w:sz w:val="20"/>
          <w:szCs w:val="20"/>
          <w:color w:val="auto"/>
        </w:rPr>
      </w:pPr>
    </w:p>
    <w:p>
      <w:pPr>
        <w:ind w:right="80" w:firstLine="546"/>
        <w:spacing w:after="0" w:line="291" w:lineRule="auto"/>
        <w:rPr>
          <w:sz w:val="20"/>
          <w:szCs w:val="20"/>
          <w:color w:val="auto"/>
        </w:rPr>
      </w:pPr>
      <w:r>
        <w:rPr>
          <w:rFonts w:ascii="Arial" w:cs="Arial" w:eastAsia="Arial" w:hAnsi="Arial"/>
          <w:sz w:val="16"/>
          <w:szCs w:val="16"/>
          <w:color w:val="auto"/>
        </w:rPr>
        <w:t>All five patients in this clinical trial have been dosed. To date, the treatment was generally well-tolerated with no serious adverse events, or SAEs, related to the study drug. In addition, in all five patients, all of whom are males with classic Fabry disease, the level of plasma and leukocyte AGA enzyme activity began to rise after infusion. In each of the patients, plasma and leukocyte AGA enzyme activity was observed to increase from nearly undetectable levels before treatment to a peak within approximately three to six months after treatment, followed by a decline and trending to stabilize to levels above the range for males with classical Fabry disease, defined as less than 1 nmol/hr/ml. We believe that the steep initial increase reflects AGA enzyme activity from the early progeny of the transduced stem cells, while the subsequent decline and stabilization in AGA enzyme levels reflect a shift from short term progenitor cells towards the gradual secretion of AGA enzyme by long-term engraftment cells that become more predominant over time.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AGA Enzyme Activity</w:t>
      </w:r>
    </w:p>
    <w:p>
      <w:pPr>
        <w:spacing w:after="0" w:line="117"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As of 42 months after receiving AVR-RD-01, the first patient’s plasma and leukocyte AGA enzyme activity levels continued to be above the range for males with classical Fabry disease. Based on the level of endogenously produced enzyme activity, at the 18-month follow-up visit for this patient, the investigator team for the trial made a clinical decision to discontinue the bi-weekly ERT and the patient remains off ERT as of 42 months post-treatment with AVR-RD-01. Additionally, the third and fourth patients in this clinical trial discontinued ERT and both remain off ERT as of 24 months post-treatment with AVR-RD-01. The second and fifth patients have elected to continue receiving concurrent ERT. Plasma and leukocyte AGA enzyme activity levels in all five patients remained above the range for males with classical Fabry disease, defined as less than 1 nmol/hr/ml, as of 42 months, 36 months, 24 months, 24 months and 18 months after treatment, respectively. We believe these results, particularly from the patients in the trial with longer-term AGA data points reported, support the potential of AVR-RD-01 to drive functional enzyme production for long durations.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Lyso-Gb3 Levels</w:t>
      </w:r>
    </w:p>
    <w:p>
      <w:pPr>
        <w:spacing w:after="0" w:line="117" w:lineRule="exact"/>
        <w:rPr>
          <w:sz w:val="20"/>
          <w:szCs w:val="20"/>
          <w:color w:val="auto"/>
        </w:rPr>
      </w:pPr>
    </w:p>
    <w:p>
      <w:pPr>
        <w:ind w:right="20" w:firstLine="546"/>
        <w:spacing w:after="0" w:line="286" w:lineRule="auto"/>
        <w:rPr>
          <w:sz w:val="20"/>
          <w:szCs w:val="20"/>
          <w:color w:val="auto"/>
        </w:rPr>
      </w:pPr>
      <w:r>
        <w:rPr>
          <w:rFonts w:ascii="Arial" w:cs="Arial" w:eastAsia="Arial" w:hAnsi="Arial"/>
          <w:sz w:val="16"/>
          <w:szCs w:val="16"/>
          <w:color w:val="auto"/>
        </w:rPr>
        <w:t>The substrate, Gb3, and its toxic metabolite, known as lyso-Gb3, are considered surrogate markers for disease activity and treatment response for Fabry disease. In the case of ERT-naïve patients and patients who have discontinued ERT, we believe that reductions in Gb3 levels following treatment with gene therapy are likely driven by the therapeutic effect of gene therapy. In four of the five patients in the Phase 1 clinical trial of AVR-RD-01, we have observed plasma lyso-Gb3 at levels post-treatment that are lower than the levels observed when the patient received only ERT prior to administration</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of AVR-RD-01, which we refer to as baseline ERT levels. We define baseline ERT for these Phase 1 patients as the mean of the plasma lyso-Gb3 values reported prior to initiating mobilization. Based on the latest interim data we presented in February 2021, these four Phase 1 patients exhibited reductions in plasma lyso-Gb3 levels ranging between 25% and 48% compared to</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right="80"/>
        <w:spacing w:after="0" w:line="259" w:lineRule="auto"/>
        <w:rPr>
          <w:sz w:val="20"/>
          <w:szCs w:val="20"/>
          <w:color w:val="auto"/>
        </w:rPr>
      </w:pPr>
      <w:r>
        <w:rPr>
          <w:rFonts w:ascii="Arial" w:cs="Arial" w:eastAsia="Arial" w:hAnsi="Arial"/>
          <w:sz w:val="18"/>
          <w:szCs w:val="18"/>
          <w:color w:val="auto"/>
        </w:rPr>
        <w:t>their baseline ERT levels. With respect to the fourth patient, who discontinued ERT six months following administration of AVR-RD-01, we observed an initial decline in plasma lyso-Gb3 levels through six months post-treatment compared to baseline ERT, and a 35% increase in plasma lyso-Gb3 levels at 24 months post-treatment compared to baseline ERT. This patient’s plasma lyso-Gb3 levels remain within the range for the Fabry disease patients on ERT observed in this Phase 1 clinical trial.</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Vector Copy Number</w:t>
      </w:r>
    </w:p>
    <w:p>
      <w:pPr>
        <w:spacing w:after="0" w:line="117" w:lineRule="exact"/>
        <w:rPr>
          <w:sz w:val="20"/>
          <w:szCs w:val="20"/>
          <w:color w:val="auto"/>
        </w:rPr>
      </w:pPr>
    </w:p>
    <w:p>
      <w:pPr>
        <w:ind w:right="80" w:firstLine="546"/>
        <w:spacing w:after="0" w:line="291" w:lineRule="auto"/>
        <w:rPr>
          <w:sz w:val="20"/>
          <w:szCs w:val="20"/>
          <w:color w:val="auto"/>
        </w:rPr>
      </w:pPr>
      <w:r>
        <w:rPr>
          <w:rFonts w:ascii="Arial" w:cs="Arial" w:eastAsia="Arial" w:hAnsi="Arial"/>
          <w:sz w:val="16"/>
          <w:szCs w:val="16"/>
          <w:color w:val="auto"/>
        </w:rPr>
        <w:t>VCN, which is expressed as VCN per diploid genome, refers to the average number of copies of the lentiviral-vector inserted gene that are integrated into the genome of a cell, and is another measure that can be used to help assess the durability of a gene therapy. We believe that different diseases may require varying levels of VCN based on the underlying condition, and therefore VCN measurements across different diseases should be assessed separately. For example, a VCN of 0.1 may represent 5% to 10% of all nucleated circulating blood cells carrying one to two copies of the inserted gene, which we believe may be sufficient to result in clinically meaningful AGA enzyme activity in the case of Fabry disease, as suggested by our interim data from our ongoing clinical trials of AVR-RD-01. Based on the latest interim data we presented in February 2021, these five Phase 1 patients exhibited VCN levels of 0.04, 0.16, 0.24, 0.12 and 0.86 at 42 months, 36 months, 24 months, 24 months and 18 months after treatment, respectively.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Safety Data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Preliminary interim safety data indicate AVR-RD-01 has been generally well-tolerated with no SAEs related to the study drug.</w:t>
      </w:r>
    </w:p>
    <w:p>
      <w:pPr>
        <w:spacing w:after="0" w:line="225"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Adverse events, or AEs, were consistent with expectations for the melphalan conditioning regimen prescribed by the study protocol. As of the most recent safety cut-off date of November 26, 2020, there were 94 AEs reported, 14 of which were Grade 3 or 4. The remainder of the AEs were Grade 2 or Grade 1.</w:t>
      </w:r>
    </w:p>
    <w:p>
      <w:pPr>
        <w:spacing w:after="0" w:line="184" w:lineRule="exact"/>
        <w:rPr>
          <w:sz w:val="20"/>
          <w:szCs w:val="20"/>
          <w:color w:val="auto"/>
        </w:rPr>
      </w:pPr>
    </w:p>
    <w:p>
      <w:pPr>
        <w:ind w:right="80" w:firstLine="546"/>
        <w:spacing w:after="0" w:line="254" w:lineRule="auto"/>
        <w:rPr>
          <w:sz w:val="20"/>
          <w:szCs w:val="20"/>
          <w:color w:val="auto"/>
        </w:rPr>
      </w:pPr>
      <w:r>
        <w:rPr>
          <w:rFonts w:ascii="Arial" w:cs="Arial" w:eastAsia="Arial" w:hAnsi="Arial"/>
          <w:sz w:val="18"/>
          <w:szCs w:val="18"/>
          <w:color w:val="auto"/>
        </w:rPr>
        <w:t>Two SAEs were reported through the safety data cut-off date of November 26, 2020, which included one report of AE Grade 3 febrile neutropenia and one report of AE Grade 2 thrombophlebitis, each occurring following the conditioning regimen and treatment with AVR-RD-01. Both SAEs have subsequently resolved without clinical sequelae. One event, the development of a left thigh mass, was originally reported as an SAE but has now been considered by the study investigator as not serious and has resolved in the patient. No new AEs have been reported for the first patient since January 2018, the second patient since May 2018, the third patient since August 2018, the fourth patient since March 2019 or the fifth patient since August 2019. In addition, investigators observed a temporary suppression of absolute neutrophil counts and platelets, which is an expected consequence of the conditioning regimen. These decreases were transient and not associated with any negative long-term impact on the patients. Neutrophil and platelet counts recovered after dosing.</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Pre-existing low anti-AGA antibody titers have been detected in four patients in the Phase 1 trial. We believe none of these are of clinical relevance.</w:t>
      </w:r>
    </w:p>
    <w:p>
      <w:pPr>
        <w:spacing w:after="0" w:line="248"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Because this clinical trial is ongoing, safety and efficacy data are preliminary and subject to change. As is typical in open-label studies in which interim reports are provided, the data are regularly reviewed and validated. As a result, certain data may change over time, including reductions or increases in the number of reported safety events, until the database is locked at the end of the study.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Ongoing Phase 2 Multinational Clinical Trial (FAB-GT)</w:t>
      </w:r>
    </w:p>
    <w:p>
      <w:pPr>
        <w:spacing w:after="0" w:line="117" w:lineRule="exact"/>
        <w:rPr>
          <w:sz w:val="20"/>
          <w:szCs w:val="20"/>
          <w:color w:val="auto"/>
        </w:rPr>
      </w:pPr>
    </w:p>
    <w:p>
      <w:pPr>
        <w:ind w:right="60" w:firstLine="546"/>
        <w:spacing w:after="0" w:line="254" w:lineRule="auto"/>
        <w:rPr>
          <w:sz w:val="20"/>
          <w:szCs w:val="20"/>
          <w:color w:val="auto"/>
        </w:rPr>
      </w:pPr>
      <w:r>
        <w:rPr>
          <w:rFonts w:ascii="Arial" w:cs="Arial" w:eastAsia="Arial" w:hAnsi="Arial"/>
          <w:sz w:val="18"/>
          <w:szCs w:val="18"/>
          <w:color w:val="auto"/>
        </w:rPr>
        <w:t>We are sponsoring an open label, multinational Phase 2 clinical trial of AVR-RD-01, which we refer to as the FAB-GT clinical trial. This study was initiated in June 2018 in Australia and enrollment in this Phase 2 clinical trial is ongoing. Eight to 12 treatment-naïve males, 16 to 50 years old, with Fabry disease are expected to be enrolled in this trial. Our objectives for this trial are to assess safety and efficacy as measured by multiple indicators, such as AGA enzyme activity, Gb3 and lyso-Gb3 levels in blood and various tissues, kidney and cardiac function, gastrointestinal symptoms, and pain and quality of life scores. All enrolled patients will receive a single treatment with AVR-RD-01 and will be followed for 48 weeks to measure safety and efficacy. We have opened two U.S. sites for our ongoing FAB-GT clinical trial and are actively recruiting potential patients for our sites in Australia, Canada and the United States. We are also engaged in discussions with the Pharmaceuticals and Medical Devices Agency, or PMDA, regarding potential future clinical development of AVR-RD-01 in Japan.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180" w:firstLine="546"/>
        <w:spacing w:after="0" w:line="257" w:lineRule="auto"/>
        <w:rPr>
          <w:sz w:val="20"/>
          <w:szCs w:val="20"/>
          <w:color w:val="auto"/>
        </w:rPr>
      </w:pPr>
      <w:r>
        <w:rPr>
          <w:rFonts w:ascii="Arial" w:cs="Arial" w:eastAsia="Arial" w:hAnsi="Arial"/>
          <w:sz w:val="18"/>
          <w:szCs w:val="18"/>
          <w:color w:val="auto"/>
        </w:rPr>
        <w:t xml:space="preserve">As of March 1, 2021, five patients have been dosed in the FAB-GT clinical trial. For the fourth and fifth patients, we transitioned the lentiviral vector from LV1 to our optimized proprietary LV2 from our plato platform. All future patients in this clinical trial will be dosed using the plato platform, which we believe will further improve the efficacy and further enhance the safety of our lentiviral-based gene therapy. Because the transition to LV2 only impacts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transduction process, and not the actual AGA enzyme that is produced by the transduced cells, or drug product, we believe this transition will be supported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comparability studies.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Kidney Biopsy</w:t>
      </w:r>
    </w:p>
    <w:p>
      <w:pPr>
        <w:spacing w:after="0" w:line="117" w:lineRule="exact"/>
        <w:rPr>
          <w:sz w:val="20"/>
          <w:szCs w:val="20"/>
          <w:color w:val="auto"/>
        </w:rPr>
      </w:pPr>
    </w:p>
    <w:p>
      <w:pPr>
        <w:ind w:firstLine="546"/>
        <w:spacing w:after="0" w:line="267" w:lineRule="auto"/>
        <w:rPr>
          <w:sz w:val="20"/>
          <w:szCs w:val="20"/>
          <w:color w:val="auto"/>
        </w:rPr>
      </w:pPr>
      <w:r>
        <w:rPr>
          <w:rFonts w:ascii="Arial" w:cs="Arial" w:eastAsia="Arial" w:hAnsi="Arial"/>
          <w:sz w:val="17"/>
          <w:szCs w:val="17"/>
          <w:color w:val="auto"/>
        </w:rPr>
        <w:t>The primary efficacy endpoint of our FAB-GT clinical trial is the change from baseline in the average number of Gb3 inclusions per peritubular capillary, or PTC, as measured in a patient kidney biopsy one year (48 weeks) after treatment with AVR-RD-01. Gb3, also referred to as GL-3, is a type of fatty substrate that builds in the cells of Fabry patients, resulting in damage to organs such as kidneys and heart. PTCs, also referred to as kidney interstitial capillaries, or KICs, in Fabry clinical trials, convey blood after filtration in the glomeruli, enabling the blood to eventually exit the kidney and return to the circulatory system. In February 2021, we announced that the fourth patient in our FAB-GT clinical trial exhibited a reduction from an average of 4.02 Gb3 inclusions per PTC at baseline to zero inclusions per PTC one year after administration of AVR-RD-01, representing a 100% clearance of Gb3 substrate. These data followed our 2019 announcement that the first patient in the FAB-GT clinical trial exhibited a reduction from an average of 3.55 Gb3 inclusions per PTC at baseline to an average of 0.47 inclusions per PTC one year after administration of AVR-RD-01, representing an 87% reduction and a numerical decrease of 3.08. The assessments for these two patients were each made by two blinded pathologists who independently scored digital images of the sectioned kidneys from the 12-month biopsies. The second patient in the FAB-GT clinical trial has an N215S genotype, which is associated with a late-onset cardiac variant phenotype. This patient’s cardiac variant phenotype does not typically result in Gb3 accumulation in the kidney, and accordingly this patient’s kidney biopsy had low levels of Gb3 and lyso-Gb3 at all measurements, including at baseline. Although we expect that data obtained from this patient will not provide meaningful insight on the primary efficacy endpoint in our FAB-GT clinical trial, including kidney biopsies, other important efficacy and safety measures continue to be derived from data collected from this patient. A kidney biopsy was conducted on the third patient in the FAB-GT clinical trial, but due to human error in processing the biopsy sample at the external laboratory vendor, the kidney Gb3 inclusions could not be evaluated and will not be available. The fifth patient in this clinical trial was dosed in February 2021 and we expect to have kidney biopsy data available for that patient in the first half of 2022.</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figure illustrates the decrease in average Gb3 inclusions per PTC for the first and fourth patients in the Phase 2 FAB-GT clinical trial.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Phase 2 FAB-GT: Patients 1 and 4 substrate reduction in kidney biopsy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154305</wp:posOffset>
            </wp:positionV>
            <wp:extent cx="5631815" cy="2400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3181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Baseline</w:t>
      </w:r>
      <w:r>
        <w:rPr>
          <w:rFonts w:ascii="Arial" w:cs="Arial" w:eastAsia="Arial" w:hAnsi="Arial"/>
          <w:sz w:val="18"/>
          <w:szCs w:val="18"/>
          <w:i w:val="1"/>
          <w:iCs w:val="1"/>
          <w:color w:val="auto"/>
        </w:rPr>
        <w:t>: The last available, non-missing observation prior to AVR-RD-01 infusion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With respect to Fabry disease clinical trials, Gb3 inclusions per PTC is interchangeable with GL-3 inclusions per KIC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left="560"/>
        <w:spacing w:after="0"/>
        <w:rPr>
          <w:sz w:val="20"/>
          <w:szCs w:val="20"/>
          <w:color w:val="auto"/>
        </w:rPr>
      </w:pPr>
      <w:r>
        <w:rPr>
          <w:rFonts w:ascii="Arial" w:cs="Arial" w:eastAsia="Arial" w:hAnsi="Arial"/>
          <w:sz w:val="18"/>
          <w:szCs w:val="18"/>
          <w:i w:val="1"/>
          <w:iCs w:val="1"/>
          <w:color w:val="auto"/>
        </w:rPr>
        <w:t>Lyso-Gb3 Levels</w:t>
      </w:r>
    </w:p>
    <w:p>
      <w:pPr>
        <w:spacing w:after="0" w:line="117" w:lineRule="exact"/>
        <w:rPr>
          <w:sz w:val="20"/>
          <w:szCs w:val="20"/>
          <w:color w:val="auto"/>
        </w:rPr>
      </w:pPr>
    </w:p>
    <w:p>
      <w:pPr>
        <w:ind w:right="20" w:firstLine="546"/>
        <w:spacing w:after="0" w:line="279" w:lineRule="auto"/>
        <w:rPr>
          <w:sz w:val="20"/>
          <w:szCs w:val="20"/>
          <w:color w:val="auto"/>
        </w:rPr>
      </w:pPr>
      <w:r>
        <w:rPr>
          <w:rFonts w:ascii="Arial" w:cs="Arial" w:eastAsia="Arial" w:hAnsi="Arial"/>
          <w:sz w:val="17"/>
          <w:szCs w:val="17"/>
          <w:color w:val="auto"/>
        </w:rPr>
        <w:t>The first patient in our FAB-GT trial had an 86% reduction in plasma lyso-Gb3 levels as of 29 months post-treatment with AVR-RD-01, the third patient had a plasma lyso-Gb3 reduction of 55% as of 19 months post-treatment, and the fourth patient had a plasma lyso-Gb3 reduction of 69% as of 12 months post-treatment with AVR-RD-01, in each case as compared to baseline. The second patient has an N215S genotype, which is associated with a late-onset cardiac variant phenotype and does not typically result in Gb3 accumulation in the kidney or skin.</w:t>
      </w:r>
    </w:p>
    <w:p>
      <w:pPr>
        <w:spacing w:after="0" w:line="32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AGA Enzyme Activity</w:t>
      </w:r>
    </w:p>
    <w:p>
      <w:pPr>
        <w:spacing w:after="0" w:line="117"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In the first two patients in our FAB-GT clinical trial, for whom we have presented data out to 29 and 24 months, respectively, plasma and leukocyte AGA enzyme activity was observed to increase from nearly undetectable levels before treatment to a peak within three months after treatment, followed by a decline and trending to stabilize to levels above the range for males with Fabry disease, defined as less than 1 nmol/hr/ml. The third patient in the FAB-GT trial exhibited a rapid increase in plasma and leukocyte AGA enzyme activity from nearly undetectable levels before treatment to a peak within the first seven days after treatment in the case of plasma enzyme activity and within the first 14 days after treatment in the case of leukocyte enzyme activity, followed by a decline and subsequent increase which is trending toward a stable level above the range for males with Fabry disease at 18 months after treatment. The fourth patient in the FAB-GT trial, who was dosed with the plato platform, exhibited a rapid increase in AGA enzyme activity post-treatment and had not exhibited a substantial decline in AGA levels at 12 months after treatment. Similar to the results observed in the investigator-led Phase 1 trial of AVR-RD-01, we believe that the steep initial increase reflects AGA enzyme activity from the early progeny of the transduced stem cells, while the subsequent decline and stabilization in AGA enzyme levels reflect a shift from short-term progenitor cells towards the gradual secretion of AGA enzyme by long-term engraftment cells that become more predominant over time.</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Skin Biopsy</w:t>
      </w:r>
    </w:p>
    <w:p>
      <w:pPr>
        <w:spacing w:after="0" w:line="117" w:lineRule="exact"/>
        <w:rPr>
          <w:sz w:val="20"/>
          <w:szCs w:val="20"/>
          <w:color w:val="auto"/>
        </w:rPr>
      </w:pPr>
    </w:p>
    <w:p>
      <w:pPr>
        <w:ind w:firstLine="546"/>
        <w:spacing w:after="0" w:line="253" w:lineRule="auto"/>
        <w:rPr>
          <w:sz w:val="20"/>
          <w:szCs w:val="20"/>
          <w:color w:val="auto"/>
        </w:rPr>
      </w:pPr>
      <w:r>
        <w:rPr>
          <w:rFonts w:ascii="Arial" w:cs="Arial" w:eastAsia="Arial" w:hAnsi="Arial"/>
          <w:sz w:val="18"/>
          <w:szCs w:val="18"/>
          <w:color w:val="auto"/>
        </w:rPr>
        <w:t>Skin biopsies have been performed in the FAB-GT trial and evaluated by two independent blinded readers using a standard scoring system for Gb3 accumulation and clearance. The scoring system has a range of zero to three, with a score of zero representing none or trace accumulation, and a score of three representing severe accumulation. The first patient scored a three at baseline, a two at six months after treatment with AVR-RD-01 and a one at 12 months post-treatment with AVR-RD-01. The second patient in the FAB-GT trial, whose cardiac variant phenotype does not typically result in Gb3 accumulation in the kidney and skin, scored a zero at baseline and at six months post-treatment with AVR-RD-01. The third patient scored a two at baseline and a two at six months post-treatment with AVR-RD-01. After consideration of the clinical relevance of substrate inclusion in the skin of Fabry patients and the lack of direct, strong correlation with substrate in the kidney, we have changed this trial’s exclusion criteria so that patients with no or minimal substrate in their skin at screening will still be eligible to participate in the clinical trial. We expect to continue collecting skin biopsy data as an exploratory measurement.</w:t>
      </w:r>
    </w:p>
    <w:p>
      <w:pPr>
        <w:spacing w:after="0" w:line="3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Vector Copy Number</w:t>
      </w:r>
    </w:p>
    <w:p>
      <w:pPr>
        <w:spacing w:after="0" w:line="117"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The first four patients in our FAB-GT clinical trial have exhibited consistent VCN trends following administration of AVR-RD-01. Based on the latest interim data we presented in February 2021, these four FAB-GT patients exhibited VCN levels of 0.04, 0.06, 0.19 and 0.95 at 29 months, 18 months, 19 months and 12 months after treatment, respectively.</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Kidney and Cardiac Function</w:t>
      </w:r>
    </w:p>
    <w:p>
      <w:pPr>
        <w:spacing w:after="0" w:line="117" w:lineRule="exact"/>
        <w:rPr>
          <w:sz w:val="20"/>
          <w:szCs w:val="20"/>
          <w:color w:val="auto"/>
        </w:rPr>
      </w:pPr>
    </w:p>
    <w:p>
      <w:pPr>
        <w:ind w:right="60" w:firstLine="546"/>
        <w:spacing w:after="0" w:line="254" w:lineRule="auto"/>
        <w:rPr>
          <w:sz w:val="20"/>
          <w:szCs w:val="20"/>
          <w:color w:val="auto"/>
        </w:rPr>
      </w:pPr>
      <w:r>
        <w:rPr>
          <w:rFonts w:ascii="Arial" w:cs="Arial" w:eastAsia="Arial" w:hAnsi="Arial"/>
          <w:sz w:val="18"/>
          <w:szCs w:val="18"/>
          <w:color w:val="auto"/>
        </w:rPr>
        <w:t>Secondary endpoints of our FAB-GT trial include measurements of kidney function, as measured by estimated glomerular filtration rate, or eGFR, and measured glomerular filtration rate, or mGFR, as well as measures of cardiac function, as assessed by Left Ventricular Mass Index, or LVMI. eGFR is determined using the Chronic Kidney Disease Epidemiology Collaboration, or CKD-EPI, formula and mGFR is determined using plasma clearance of iohexol. The left ventricular mass, or LVM, is assessed by cardiac magnetic resonance imaging, or cardiac MRI, which is an imaging technology that enables non-invasive assessment of the function and structure of the heart. In general, for a patient with Fabry disease, an increase over time in LVM could potentially be expected. Improving patient outcomes by slowing or halting the progression of organ damage is a key mission of our Company and our investigational gene therapy programs.</w:t>
      </w:r>
    </w:p>
    <w:p>
      <w:pPr>
        <w:spacing w:after="0" w:line="195"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In February 2021, we presented eGFR data for all five patients in the Phase 1 clinical trial of AVR-RD-01 and the first four patients in our FAB-GT clinical trial. We believe these data suggest that eight out of nine patients are exhibiting stable kidney function, with the first patient from the Phase 1 clinical trial out 42 months post-treatment. One patient, who remains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on ERT as of January 11, 2021, entered the Phase 1 clinical trial with advanced kidney disease and a baseline eGFR level of less than 50 mL/min/1.73m</w:t>
      </w:r>
      <w:r>
        <w:rPr>
          <w:rFonts w:ascii="Arial" w:cs="Arial" w:eastAsia="Arial" w:hAnsi="Arial"/>
          <w:sz w:val="13"/>
          <w:szCs w:val="13"/>
          <w:color w:val="auto"/>
        </w:rPr>
        <w:t>2</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expected, this patient’s kidney function has not stabilized.</w:t>
      </w:r>
    </w:p>
    <w:p>
      <w:pPr>
        <w:spacing w:after="0" w:line="211" w:lineRule="exact"/>
        <w:rPr>
          <w:sz w:val="20"/>
          <w:szCs w:val="20"/>
          <w:color w:val="auto"/>
        </w:rPr>
      </w:pPr>
    </w:p>
    <w:p>
      <w:pPr>
        <w:ind w:right="260" w:firstLine="546"/>
        <w:spacing w:after="0" w:line="311" w:lineRule="auto"/>
        <w:rPr>
          <w:sz w:val="20"/>
          <w:szCs w:val="20"/>
          <w:color w:val="auto"/>
        </w:rPr>
      </w:pPr>
      <w:r>
        <w:rPr>
          <w:rFonts w:ascii="Arial" w:cs="Arial" w:eastAsia="Arial" w:hAnsi="Arial"/>
          <w:sz w:val="16"/>
          <w:szCs w:val="16"/>
          <w:color w:val="auto"/>
        </w:rPr>
        <w:t>Also in February 2021, we presented mean average data on measures of cardiac function and structure in all four patients in the FAB-GT clinical trial at 12-months post-treatment as compared to mean baseline. The mean measurements of ejection fraction, end diastolic volume, cardiac output and LVMI at 12-months post-treatment showed an average percent change from baseline of 2.2%, 0.2%, 0.8% and 9.8%, respectively.</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Safety Data</w:t>
      </w:r>
    </w:p>
    <w:p>
      <w:pPr>
        <w:spacing w:after="0" w:line="117"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Preliminary interim safety data from the ongoing FAB-GT study indicate that AVR-RD-01 has been generally well-tolerated in the first four patients enrolled in the study.</w:t>
      </w:r>
    </w:p>
    <w:p>
      <w:pPr>
        <w:spacing w:after="0" w:line="170" w:lineRule="exact"/>
        <w:rPr>
          <w:sz w:val="20"/>
          <w:szCs w:val="20"/>
          <w:color w:val="auto"/>
        </w:rPr>
      </w:pPr>
    </w:p>
    <w:p>
      <w:pPr>
        <w:ind w:right="320" w:firstLine="546"/>
        <w:spacing w:after="0" w:line="263" w:lineRule="auto"/>
        <w:rPr>
          <w:sz w:val="20"/>
          <w:szCs w:val="20"/>
          <w:color w:val="auto"/>
        </w:rPr>
      </w:pPr>
      <w:r>
        <w:rPr>
          <w:rFonts w:ascii="Arial" w:cs="Arial" w:eastAsia="Arial" w:hAnsi="Arial"/>
          <w:sz w:val="18"/>
          <w:szCs w:val="18"/>
          <w:color w:val="auto"/>
        </w:rPr>
        <w:t>As of the safety cut-off date of December 7, 2020, there were 111 AEs reported, 22 of which were Grade 3 or 4. The remainder of the AEs were Grade 2 or Grade 1. No AEs were deemed by the investigator to be possibly, probably, or definitely related to drug product. AEs in this study can be assigned to more than one causality assessment.</w:t>
      </w:r>
    </w:p>
    <w:p>
      <w:pPr>
        <w:spacing w:after="0" w:line="184" w:lineRule="exact"/>
        <w:rPr>
          <w:sz w:val="20"/>
          <w:szCs w:val="20"/>
          <w:color w:val="auto"/>
        </w:rPr>
      </w:pPr>
    </w:p>
    <w:p>
      <w:pPr>
        <w:ind w:right="40" w:firstLine="546"/>
        <w:spacing w:after="0" w:line="218" w:lineRule="exact"/>
        <w:rPr>
          <w:sz w:val="20"/>
          <w:szCs w:val="20"/>
          <w:color w:val="auto"/>
        </w:rPr>
      </w:pPr>
      <w:r>
        <w:rPr>
          <w:rFonts w:ascii="Arial" w:cs="Arial" w:eastAsia="Arial" w:hAnsi="Arial"/>
          <w:sz w:val="16"/>
          <w:szCs w:val="16"/>
          <w:color w:val="auto"/>
        </w:rPr>
        <w:t>As of December 7, 2020, six SAEs were reported, one pre-treatment and five post-treatment. No events were related to AVR-RD-01 and five events were related to the conditioning regimen. All six SAEs subsequently resolved without clinical sequelae. After beginning stem cell mobilization but prior to undergoing the conditioning regimen and treatment with AVR</w:t>
      </w:r>
      <w:r>
        <w:rPr>
          <w:rFonts w:ascii="MS PGothic" w:cs="MS PGothic" w:eastAsia="MS PGothic" w:hAnsi="MS PGothic"/>
          <w:sz w:val="16"/>
          <w:szCs w:val="16"/>
          <w:color w:val="auto"/>
        </w:rPr>
        <w:t>‑</w:t>
      </w:r>
      <w:r>
        <w:rPr>
          <w:rFonts w:ascii="Arial" w:cs="Arial" w:eastAsia="Arial" w:hAnsi="Arial"/>
          <w:sz w:val="16"/>
          <w:szCs w:val="16"/>
          <w:color w:val="auto"/>
        </w:rPr>
        <w:t>RD</w:t>
      </w:r>
      <w:r>
        <w:rPr>
          <w:rFonts w:ascii="MS PGothic" w:cs="MS PGothic" w:eastAsia="MS PGothic" w:hAnsi="MS PGothic"/>
          <w:sz w:val="16"/>
          <w:szCs w:val="16"/>
          <w:color w:val="auto"/>
        </w:rPr>
        <w:t>‑</w:t>
      </w:r>
      <w:r>
        <w:rPr>
          <w:rFonts w:ascii="Arial" w:cs="Arial" w:eastAsia="Arial" w:hAnsi="Arial"/>
          <w:sz w:val="16"/>
          <w:szCs w:val="16"/>
          <w:color w:val="auto"/>
        </w:rPr>
        <w:t>01, the first patient experienced a seizure. In addition, during a scheduled protocol visit after dosing, the same patient experienced nausea and vomiting, dehydration and was admitted to the hospital for fluid hydration. Because this event warranted hospital admission, the event was categorized as an SAE. An additional SAE of febrile neutropenia was reported in each of the second and third patient post-treatment. The fourth patient experienced two post-treatment SAEs of culture negative fevers and mucositis Grade 2.</w:t>
      </w:r>
    </w:p>
    <w:p>
      <w:pPr>
        <w:spacing w:after="0" w:line="206" w:lineRule="exact"/>
        <w:rPr>
          <w:sz w:val="20"/>
          <w:szCs w:val="20"/>
          <w:color w:val="auto"/>
        </w:rPr>
      </w:pPr>
    </w:p>
    <w:p>
      <w:pPr>
        <w:jc w:val="both"/>
        <w:ind w:right="100" w:firstLine="546"/>
        <w:spacing w:after="0" w:line="263" w:lineRule="auto"/>
        <w:rPr>
          <w:sz w:val="20"/>
          <w:szCs w:val="20"/>
          <w:color w:val="auto"/>
        </w:rPr>
      </w:pPr>
      <w:r>
        <w:rPr>
          <w:rFonts w:ascii="Arial" w:cs="Arial" w:eastAsia="Arial" w:hAnsi="Arial"/>
          <w:sz w:val="18"/>
          <w:szCs w:val="18"/>
          <w:color w:val="auto"/>
        </w:rPr>
        <w:t>In addition to the above, each of the FAB-GT patients experienced a temporary suppression of absolute neutrophil counts and platelets, which is an expected consequence of the conditioning regimen. These decreases were transient and not associated with any negative long-term impact on the patients. Neutrophil and platelet counts recovered after dosing.</w:t>
      </w:r>
    </w:p>
    <w:p>
      <w:pPr>
        <w:spacing w:after="0" w:line="184"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Because this clinical trial is ongoing, safety and efficacy data are preliminary and subject to change. As is typical in open-label studies in which interim reports are provided, the data are regularly reviewed and validated. As a result, certain data may change over time, including reductions or increases in the number of reported safety events, until the database is locked at the end of the study.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AVR-RD-04, Our Gene Therapy for Cystinosis</w:t>
      </w:r>
    </w:p>
    <w:p>
      <w:pPr>
        <w:spacing w:after="0" w:line="121" w:lineRule="exact"/>
        <w:rPr>
          <w:sz w:val="20"/>
          <w:szCs w:val="20"/>
          <w:color w:val="auto"/>
        </w:rPr>
      </w:pPr>
    </w:p>
    <w:p>
      <w:pPr>
        <w:ind w:right="180" w:firstLine="546"/>
        <w:spacing w:after="0" w:line="301" w:lineRule="auto"/>
        <w:rPr>
          <w:sz w:val="20"/>
          <w:szCs w:val="20"/>
          <w:color w:val="auto"/>
        </w:rPr>
      </w:pPr>
      <w:r>
        <w:rPr>
          <w:rFonts w:ascii="Arial" w:cs="Arial" w:eastAsia="Arial" w:hAnsi="Arial"/>
          <w:sz w:val="16"/>
          <w:szCs w:val="16"/>
          <w:color w:val="auto"/>
        </w:rPr>
        <w:t>Together with UCSD, we are developing CTNS-RD-04, which we refer to as AVR-RD-04, for the treatment of patients with cystinosis. AVR-RD-04 is manufactured from hematopoietic stem cells that are first harvested from the patient, modified to add the gene that encodes for cystinosin, and then infused into the patient. AVR-RD-04 is currently being studied by our collaborators at UCSD in a Phase 1/2 investigator-sponsored clinical trial. As of March 1, 2021 three patients have been dosed with AVR-RD-04 and as of January 20, 2021 all three remained off cysteamine pills and eye drops.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Cystinosis is a rare, genetic, autosomal recessive, lysosomal disorder caused by the accumulation of the amino acid cystine that is produced in the lysosomes of cells as the result of protein degradation. Cystine is normally transported through the lysosomal membrane to the cytosol where it is reutilized after its transformation to cysteine. In cystinosis, cystine accumulates inside the lysosomes because of a defect in the gene that encodes cystinosin, a protein that transports cystine across the lysosomal membrane. Cystine is poorly soluble and forms crystals as its concentration increases. These crystals build up and cause complications in many organs and tissues. The kidneys and eyes are especially vulnerable to damage, and the muscles, thyroid, pancreas and testes may also be affected.</w:t>
      </w:r>
    </w:p>
    <w:p>
      <w:pPr>
        <w:spacing w:after="0" w:line="192"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The most severe form of cystinosis begins in infancy, causing poor growth and a particular type of kidney damage in which certain molecules, such as glucose, amino acids, phosphate, and bicarbonate, that should be reabsorbed into the bloodstream are instead eliminated in the urine. These renal problems ultimately lead to impaired growth and may result in soft, bowed bones, especially in the legs. By the time the patient is approximately two years old, cystine crystals may be present in the cornea, and the buildup of these crystals in the eye causes pain and an increased sensitivity to light. Untreated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140"/>
        <w:spacing w:after="0" w:line="259" w:lineRule="auto"/>
        <w:rPr>
          <w:sz w:val="20"/>
          <w:szCs w:val="20"/>
          <w:color w:val="auto"/>
        </w:rPr>
      </w:pPr>
      <w:r>
        <w:rPr>
          <w:rFonts w:ascii="Arial" w:cs="Arial" w:eastAsia="Arial" w:hAnsi="Arial"/>
          <w:sz w:val="18"/>
          <w:szCs w:val="18"/>
          <w:color w:val="auto"/>
        </w:rPr>
        <w:t>children with cystinosis may experience complete kidney failure by the age of ten. Other signs and symptoms that may occur in untreated patients, especially after adolescence, include muscle deterioration, blindness, inability to swallow, diabetes, thyroid and nervous system problems. More than 90% of untreated patients require a kidney transplant before the age of 20. It is estimated that cystinosis disease is diagnosed in approximately one in 170,000 people.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Cystinosis is currently treated with oral formulations of cysteamine that enter the lysosome and stimulate the breakdown of cystine into products that do not require the cystinosin protein to be transported. Oral treatment can delay the development of kidney failure by six to ten years if it is started at a very early age, however it cannot prevent kidney failure or the development of other complications, such as the formation of cystine crystals in the cornea. The most commonly prescribed oral therapies for cystinosis are Procysbi (delayed release cysteamine bitartrate), marketed by Horizon Orphan, and Cystagon (cysteamine bitartrate), marketed by Mylan and Recordati S.p.A. In 2020, Procysbi generated worldwide net sales of approximately $170 million. We estimate that the average five-year cost to the healthcare system per cystinosis patient prescribed standard of care treatment in the United States is approximately $4.3 million.</w:t>
      </w:r>
    </w:p>
    <w:p>
      <w:pPr>
        <w:spacing w:after="0" w:line="195" w:lineRule="exact"/>
        <w:rPr>
          <w:sz w:val="20"/>
          <w:szCs w:val="20"/>
          <w:color w:val="auto"/>
        </w:rPr>
      </w:pPr>
    </w:p>
    <w:p>
      <w:pPr>
        <w:ind w:right="60" w:firstLine="546"/>
        <w:spacing w:after="0" w:line="291" w:lineRule="auto"/>
        <w:rPr>
          <w:sz w:val="20"/>
          <w:szCs w:val="20"/>
          <w:color w:val="auto"/>
        </w:rPr>
      </w:pPr>
      <w:r>
        <w:rPr>
          <w:rFonts w:ascii="Arial" w:cs="Arial" w:eastAsia="Arial" w:hAnsi="Arial"/>
          <w:sz w:val="16"/>
          <w:szCs w:val="16"/>
          <w:color w:val="auto"/>
        </w:rPr>
        <w:t>Procysbi and Cystagon must be taken orally every 12 or six hours, respectively, leading to significant pill burden and compliance challenges. Because cysteamine works by directly binding to cystine, rather than through a typical small molecule that inhibits an enzyme or receptor, a substantial quantity is required. For adults, this can mean taking at least 12 capsules twice a day, every day. Oral therapy with cysteamine is associated with a high degree of noncompliance due to the frequency with which it must be dosed and the accompanying nausea, as well as the acrid sulfur smell that it produces in the breath and body. It has been estimated that only one third of patients are able to adhere to the strict dosing schedule. Studies have shown that adherence diminishes over time in adolescents and adults despite disease impact. Further, oral cysteamine treatment has no effect on ocular cystine crystals deposits, thus requiring patients to be treated with topical cysteamine eye drops which must be applied each hour the patient is awake.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 xml:space="preserve">We are developing AVR-RD-04 to potentially provide a functional cure to patients with cystinosis with a single dose of the patient’s own hematopoietic stem cells modified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procedure. AVR-RD-04 is a lentiviral-based gene therapy containing a human gene for cystinosin designed to maximize the likelihood of sustained cystinosin production in hematopoietic stem cells and their progeny.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Ongoing Phase 1/2 Investigator-Sponsored Clinical Trial</w:t>
      </w:r>
    </w:p>
    <w:p>
      <w:pPr>
        <w:spacing w:after="0" w:line="117"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In the Phase 1/2 clinical trial of AVR-RD-04 that is being conducted by our collaborators at UCSD, six patients with cystinosis who are currently being treated with cysteamine will be enrolled. The clinical trial’s primary endpoints are safety and tolerability, assessed for up to two years after treatment. Secondary endpoints to assess preliminary efficacy include change from baseline in cystine levels in rectal mucosa and granulocytes, as well as cystine crystal counts in the cornea and skin. These secondary efficacy endpoints will also be evaluated through clinical tests of kidney function, ophthalmologic measures, muscle strength, pulmonary function and neurological and psychometric function, as well as through patient-reported outcomes and assessments of health-related quality of life. Mixed leukocyte and granulocyte cystine concentration measures have been part of cystinosis standard of care treatment for the past two decades, and changes in the average level of cystine in granulocytes from baseline was originally a primary endpoint of the clinical trial of AVR-RD-04. However, we and our collaborators at UCSD determined that cystine concentration in leukocytes and granulocytes, which is used to monitor small molecule therapies, is not appropriate to represent the mechanism of action of a gene therapy. As a result, the protocol for this clinical trial was amended in 2020 to retain safety and tolerability as the primary endpoint, as is appropriate for this stage of development, and shift measurement of cystine in granulocytes to a secondary endpoint.</w:t>
      </w:r>
    </w:p>
    <w:p>
      <w:pPr>
        <w:spacing w:after="0" w:line="172" w:lineRule="exact"/>
        <w:rPr>
          <w:sz w:val="20"/>
          <w:szCs w:val="20"/>
          <w:color w:val="auto"/>
        </w:rPr>
      </w:pPr>
    </w:p>
    <w:p>
      <w:pPr>
        <w:ind w:right="400" w:firstLine="546"/>
        <w:spacing w:after="0" w:line="277" w:lineRule="auto"/>
        <w:rPr>
          <w:sz w:val="20"/>
          <w:szCs w:val="20"/>
          <w:color w:val="auto"/>
        </w:rPr>
      </w:pPr>
      <w:r>
        <w:rPr>
          <w:rFonts w:ascii="Arial" w:cs="Arial" w:eastAsia="Arial" w:hAnsi="Arial"/>
          <w:sz w:val="18"/>
          <w:szCs w:val="18"/>
          <w:color w:val="auto"/>
        </w:rPr>
        <w:t>Because this is an investigator-sponsored clinical, the study drug will not be manufactured using our plato platform, and neither the automated, closed manufacturing system nor LV2 will be used in connection with this clinical trial.</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Kidney Function</w:t>
      </w:r>
    </w:p>
    <w:p>
      <w:pPr>
        <w:spacing w:after="0" w:line="117"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Assessment of kidney function includes measurements of eGFR and serum creatinine, or sCR. eGFR is determined using the CKD-EPI formula and sCR is measured as part of the comprehensive metabolic panel. The first patient in the Phase 1/2 clinical trial exhibited an eGFR value of 42 mL/min/1.73m</w:t>
      </w:r>
      <w:r>
        <w:rPr>
          <w:rFonts w:ascii="Arial" w:cs="Arial" w:eastAsia="Arial" w:hAnsi="Arial"/>
          <w:sz w:val="15"/>
          <w:szCs w:val="15"/>
          <w:color w:val="auto"/>
        </w:rPr>
        <w:t>2</w:t>
      </w:r>
      <w:r>
        <w:rPr>
          <w:rFonts w:ascii="Arial" w:cs="Arial" w:eastAsia="Arial" w:hAnsi="Arial"/>
          <w:sz w:val="18"/>
          <w:szCs w:val="18"/>
          <w:color w:val="auto"/>
        </w:rPr>
        <w:t xml:space="preserve"> 16 months post-treatment as compared to a baseline value of 55 mL/min/1.73m</w:t>
      </w:r>
      <w:r>
        <w:rPr>
          <w:rFonts w:ascii="Arial" w:cs="Arial" w:eastAsia="Arial" w:hAnsi="Arial"/>
          <w:sz w:val="15"/>
          <w:szCs w:val="15"/>
          <w:color w:val="auto"/>
        </w:rPr>
        <w:t>2</w:t>
      </w:r>
      <w:r>
        <w:rPr>
          <w:rFonts w:ascii="Arial" w:cs="Arial" w:eastAsia="Arial" w:hAnsi="Arial"/>
          <w:sz w:val="18"/>
          <w:szCs w:val="18"/>
          <w:color w:val="auto"/>
        </w:rPr>
        <w:t>. This patient’s eGFR values had been trending downward in the three years prior to administration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120"/>
        <w:spacing w:after="0" w:line="301" w:lineRule="auto"/>
        <w:rPr>
          <w:sz w:val="20"/>
          <w:szCs w:val="20"/>
          <w:color w:val="auto"/>
        </w:rPr>
      </w:pPr>
      <w:r>
        <w:rPr>
          <w:rFonts w:ascii="Arial" w:cs="Arial" w:eastAsia="Arial" w:hAnsi="Arial"/>
          <w:sz w:val="16"/>
          <w:szCs w:val="16"/>
          <w:color w:val="auto"/>
        </w:rPr>
        <w:t>AVR-RD-04. However, at three and 16 months post-treatment the patient’s eGFR values were 43 mL/min/1.73m</w:t>
      </w:r>
      <w:r>
        <w:rPr>
          <w:rFonts w:ascii="Arial" w:cs="Arial" w:eastAsia="Arial" w:hAnsi="Arial"/>
          <w:sz w:val="13"/>
          <w:szCs w:val="13"/>
          <w:color w:val="auto"/>
        </w:rPr>
        <w:t>2</w:t>
      </w:r>
      <w:r>
        <w:rPr>
          <w:rFonts w:ascii="Arial" w:cs="Arial" w:eastAsia="Arial" w:hAnsi="Arial"/>
          <w:sz w:val="16"/>
          <w:szCs w:val="16"/>
          <w:color w:val="auto"/>
        </w:rPr>
        <w:t xml:space="preserve"> and 42 mL/min/1.73m</w:t>
      </w:r>
      <w:r>
        <w:rPr>
          <w:rFonts w:ascii="Arial" w:cs="Arial" w:eastAsia="Arial" w:hAnsi="Arial"/>
          <w:sz w:val="13"/>
          <w:szCs w:val="13"/>
          <w:color w:val="auto"/>
        </w:rPr>
        <w:t>2</w:t>
      </w:r>
      <w:r>
        <w:rPr>
          <w:rFonts w:ascii="Arial" w:cs="Arial" w:eastAsia="Arial" w:hAnsi="Arial"/>
          <w:sz w:val="16"/>
          <w:szCs w:val="16"/>
          <w:color w:val="auto"/>
        </w:rPr>
        <w:t>, respectively. While these data suggest potential kidney function stabilization after years of pathological decline, this patient’s eGFR levels could resume declining at an accelerated rate due to the irreversible nature of end-stage renal disease. At six months post-treatment the second patient in the clinical trial, who has received two kidney transplants, exhibited an eGFR value of 81 mL/min/1.73m</w:t>
      </w:r>
      <w:r>
        <w:rPr>
          <w:rFonts w:ascii="Arial" w:cs="Arial" w:eastAsia="Arial" w:hAnsi="Arial"/>
          <w:sz w:val="13"/>
          <w:szCs w:val="13"/>
          <w:color w:val="auto"/>
        </w:rPr>
        <w:t>2</w:t>
      </w:r>
      <w:r>
        <w:rPr>
          <w:rFonts w:ascii="Arial" w:cs="Arial" w:eastAsia="Arial" w:hAnsi="Arial"/>
          <w:sz w:val="16"/>
          <w:szCs w:val="16"/>
          <w:color w:val="auto"/>
        </w:rPr>
        <w:t xml:space="preserve"> as compared to a baseline value of 71 mL/min/1.73m</w:t>
      </w:r>
      <w:r>
        <w:rPr>
          <w:rFonts w:ascii="Arial" w:cs="Arial" w:eastAsia="Arial" w:hAnsi="Arial"/>
          <w:sz w:val="13"/>
          <w:szCs w:val="13"/>
          <w:color w:val="auto"/>
        </w:rPr>
        <w:t>2</w:t>
      </w:r>
      <w:r>
        <w:rPr>
          <w:rFonts w:ascii="Arial" w:cs="Arial" w:eastAsia="Arial" w:hAnsi="Arial"/>
          <w:sz w:val="16"/>
          <w:szCs w:val="16"/>
          <w:color w:val="auto"/>
        </w:rPr>
        <w:t>.</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Cystine Crystals in Skin and Rectal Biopsy Tissues</w:t>
      </w:r>
    </w:p>
    <w:p>
      <w:pPr>
        <w:spacing w:after="0" w:line="117"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Skin and rectal biopsies were performed on the first patient at baseline and 12-months post-treatment with AVR-RD-04. The data from the biopsies are intended to show the average skin intracytoplasmic crystals per cell, which is a measurement of the number of toxic crystals in each cell, as well as the occupancy of cytoplasmic volume with crystals. In November 2020, we announced that at 12-months post-treatment the first patient’s skin and rectal biopsies exhibited a 44% and 76% reduction, respectively, in average intracytoplasmic crystals per cell, and a 72% and 87% reduction, respectively, in occupancy of cytoplasmic volume, in each case as compared to the patient’s baseline levels. We believe these data suggest that the patient is now producing an endogenous supply of functional cystinosin that is reducing the accumulation of toxic cystine crystals.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Levels of Cystine in Skin</w:t>
      </w:r>
    </w:p>
    <w:p>
      <w:pPr>
        <w:spacing w:after="0" w:line="117" w:lineRule="exact"/>
        <w:rPr>
          <w:sz w:val="20"/>
          <w:szCs w:val="20"/>
          <w:color w:val="auto"/>
        </w:rPr>
      </w:pPr>
    </w:p>
    <w:p>
      <w:pPr>
        <w:jc w:val="both"/>
        <w:ind w:right="320" w:firstLine="546"/>
        <w:spacing w:after="0" w:line="301" w:lineRule="auto"/>
        <w:rPr>
          <w:sz w:val="20"/>
          <w:szCs w:val="20"/>
          <w:color w:val="auto"/>
        </w:rPr>
      </w:pPr>
      <w:r>
        <w:rPr>
          <w:rFonts w:ascii="Arial" w:cs="Arial" w:eastAsia="Arial" w:hAnsi="Arial"/>
          <w:sz w:val="16"/>
          <w:szCs w:val="16"/>
          <w:color w:val="auto"/>
        </w:rPr>
        <w:t xml:space="preserve">Levels of cystine in the skin are measured with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confocal microscopy, or IVCM, on two separate areas of the skin: behind the ear and in a location determined by the treating physician. The two measurements are analyzed and quantified with 3D Image-Pro software and averaged. The first patient in the Phase 1/2 clinical trial exhibited a 56% reduction from baseline in skin cystine levels measured 12 months post-treatment with AVR-RD-04. These skin measurements are considered experimental methodologies and will require additional study to determine their validity and significance.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Levels of Cystine in Cornea</w:t>
      </w:r>
    </w:p>
    <w:p>
      <w:pPr>
        <w:spacing w:after="0" w:line="117"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Levels of corneal cystine crystals are being assessed in this clinical trial using IVCM. In November 2020, we presented one set of images of the first patient’s cornea measured at baseline and 12-months post-administration of AVR-RD-04, and another set of images measured at baseline, seven-, nine-and 12-months post-administration. The baseline IVCM images were taken using a Nidek ConfoScan microscope and the subsequent images were taken using a Heidelberg (HRT3) with Rostock Cornea Module microscope. Each of the post-treatment images showed a noticeable decline in the presence of corneal crystals.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Granulocyte Cystine Levels</w:t>
      </w:r>
    </w:p>
    <w:p>
      <w:pPr>
        <w:spacing w:after="0" w:line="117" w:lineRule="exact"/>
        <w:rPr>
          <w:sz w:val="20"/>
          <w:szCs w:val="20"/>
          <w:color w:val="auto"/>
        </w:rPr>
      </w:pPr>
    </w:p>
    <w:p>
      <w:pPr>
        <w:ind w:right="140" w:firstLine="546"/>
        <w:spacing w:after="0" w:line="263" w:lineRule="auto"/>
        <w:rPr>
          <w:sz w:val="20"/>
          <w:szCs w:val="20"/>
          <w:color w:val="auto"/>
        </w:rPr>
      </w:pPr>
      <w:r>
        <w:rPr>
          <w:rFonts w:ascii="Arial" w:cs="Arial" w:eastAsia="Arial" w:hAnsi="Arial"/>
          <w:sz w:val="18"/>
          <w:szCs w:val="18"/>
          <w:color w:val="auto"/>
        </w:rPr>
        <w:t>The first patient in the Phase 1/2 clinical trial exhibited granulocyte cystine levels of 4.2 nmol half cystine per milligram 12 months post-treatment with AVR-RD-04 as compared to the baseline value of 7.8. This patient’s baseline value was measured two weeks after discontinuation of cysteamine treatment and prior to initiating mobilization.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Vector Copy Number</w:t>
      </w:r>
    </w:p>
    <w:p>
      <w:pPr>
        <w:spacing w:after="0" w:line="117" w:lineRule="exact"/>
        <w:rPr>
          <w:sz w:val="20"/>
          <w:szCs w:val="20"/>
          <w:color w:val="auto"/>
        </w:rPr>
      </w:pPr>
    </w:p>
    <w:p>
      <w:pPr>
        <w:ind w:right="160" w:firstLine="546"/>
        <w:spacing w:after="0" w:line="263" w:lineRule="auto"/>
        <w:rPr>
          <w:sz w:val="20"/>
          <w:szCs w:val="20"/>
          <w:color w:val="auto"/>
        </w:rPr>
      </w:pPr>
      <w:r>
        <w:rPr>
          <w:rFonts w:ascii="Arial" w:cs="Arial" w:eastAsia="Arial" w:hAnsi="Arial"/>
          <w:sz w:val="18"/>
          <w:szCs w:val="18"/>
          <w:color w:val="auto"/>
        </w:rPr>
        <w:t>In February 2021 we presented interim VCN data for the first three patients dosed in the Phase 1/2 clinical trial. At 12 months post-treatment with AVR-RD-04 the first patient exhibited VCN level of 0.9; at six months post-treatment the second patient exhibited VCN level of 1.7; and at one month post-treatment the third patient exhibited VCN level of 2.55.</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Photophobia</w:t>
      </w:r>
    </w:p>
    <w:p>
      <w:pPr>
        <w:spacing w:after="0" w:line="117"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Photophobia, or light intolerance, is a symptom of cystinosis that is caused by the buildup of cystine crystals in the cornea, inflammatory cell infiltration and corneal nerve damage. In the Phase 1/2 clinical trial, photophobia is being assessed on a grade of zero to five. The first patient in the clinical trial scored a three at baseline and a one at 12-months post-treatment.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Exploratory Measurement – Skin and Hair Melanin</w:t>
      </w:r>
    </w:p>
    <w:p>
      <w:pPr>
        <w:spacing w:after="0" w:line="117" w:lineRule="exact"/>
        <w:rPr>
          <w:sz w:val="20"/>
          <w:szCs w:val="20"/>
          <w:color w:val="auto"/>
        </w:rPr>
      </w:pPr>
    </w:p>
    <w:p>
      <w:pPr>
        <w:ind w:right="600" w:firstLine="546"/>
        <w:spacing w:after="0" w:line="277" w:lineRule="auto"/>
        <w:rPr>
          <w:sz w:val="20"/>
          <w:szCs w:val="20"/>
          <w:color w:val="auto"/>
        </w:rPr>
      </w:pPr>
      <w:r>
        <w:rPr>
          <w:rFonts w:ascii="Arial" w:cs="Arial" w:eastAsia="Arial" w:hAnsi="Arial"/>
          <w:sz w:val="18"/>
          <w:szCs w:val="18"/>
          <w:color w:val="auto"/>
        </w:rPr>
        <w:t>Photographs of the first patient in this clinical trial taken at four-, six- and nine-months post-treatment suggest that the patient’s complexion, eyebrows and hair color have darkened following administration of AVR-RD-04. As is typical of many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180"/>
        <w:spacing w:after="0" w:line="277" w:lineRule="auto"/>
        <w:rPr>
          <w:sz w:val="20"/>
          <w:szCs w:val="20"/>
          <w:color w:val="auto"/>
        </w:rPr>
      </w:pPr>
      <w:r>
        <w:rPr>
          <w:rFonts w:ascii="Arial" w:cs="Arial" w:eastAsia="Arial" w:hAnsi="Arial"/>
          <w:sz w:val="18"/>
          <w:szCs w:val="18"/>
          <w:color w:val="auto"/>
        </w:rPr>
        <w:t>people with cystinosis, this patient had fair hair color and skin tone prior to dosing. Cystinosin has been demonstrated to impact the regulation of melanin synthesis, and the protocol for this trial has been amended to prospectively assess changes in melanin.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Safety Data</w:t>
      </w:r>
    </w:p>
    <w:p>
      <w:pPr>
        <w:spacing w:after="0" w:line="117" w:lineRule="exact"/>
        <w:rPr>
          <w:sz w:val="20"/>
          <w:szCs w:val="20"/>
          <w:color w:val="auto"/>
        </w:rPr>
      </w:pPr>
    </w:p>
    <w:p>
      <w:pPr>
        <w:ind w:right="180" w:firstLine="546"/>
        <w:spacing w:after="0" w:line="293" w:lineRule="auto"/>
        <w:rPr>
          <w:sz w:val="20"/>
          <w:szCs w:val="20"/>
          <w:color w:val="auto"/>
        </w:rPr>
      </w:pPr>
      <w:r>
        <w:rPr>
          <w:rFonts w:ascii="Arial" w:cs="Arial" w:eastAsia="Arial" w:hAnsi="Arial"/>
          <w:sz w:val="16"/>
          <w:szCs w:val="16"/>
          <w:color w:val="auto"/>
        </w:rPr>
        <w:t>As of the safety cut-off date of January 27, 2021, preliminary interim clinical data for the first three patients dosed in the Phase 1/2 clinical trial appear to indicate that the AVR-RD-04 investigational gene therapy has been generally well tolerated with no unexpected safety events identified. There have been no reports of safety events attributed to the AVR-RD-04 drug product. As of the safety data cut-off date of January 27, 2021 one SAE of appendicitis was reported, which occurred post-treatment and was deemed by the investigator to be unrelated to AVR-RD-04 or the treatment procedures. A total of 48 AEs were reported as of the safety cut-off date of January 27, 2021, a majority of which were reported by the investigator to be moderate or mild. All reported AEs were consistent with expectations for the underlying disease and conditioning regimen prescribed by the study protocol.</w:t>
      </w:r>
    </w:p>
    <w:p>
      <w:pPr>
        <w:spacing w:after="0" w:line="164"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Because this clinical trial is ongoing, safety and efficacy data are preliminary and subject to change. As is typical in open-label studies in which interim reports are provided, the data are regularly reviewed and validated. As a result, certain data may change over time, including reductions or increases in the number of reported safety events, until the database is locked at the end of the study.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AVR-RD-02, Our Gene Therapy for Gaucher Disease type 1</w:t>
      </w:r>
    </w:p>
    <w:p>
      <w:pPr>
        <w:spacing w:after="0" w:line="121"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We are developing AVR-RD-02 for the treatment of Gaucher disease type 1. We plan to manufacture AVR-RD-02 from hematopoietic stem cells that are first harvested from the patient, modified to add the gene that encodes for glucocerebrosidase, or GCase, and then infused into the patient. Patient enrollment has commenced for the Phase 1/2 Guard1 clinical trial of AVR-RD-02 in patients with Gaucher disease type 1, and we dosed the first patient in the second quarter of 2020. The Guard1 trial is actively recruiting in Australia and Canada, with additional sites planned in the United States, Israel and Europe. As of March 1, 2021 one patient has been dosed.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right="160" w:firstLine="546"/>
        <w:spacing w:after="0" w:line="257" w:lineRule="auto"/>
        <w:rPr>
          <w:sz w:val="20"/>
          <w:szCs w:val="20"/>
          <w:color w:val="auto"/>
        </w:rPr>
      </w:pPr>
      <w:r>
        <w:rPr>
          <w:rFonts w:ascii="Arial" w:cs="Arial" w:eastAsia="Arial" w:hAnsi="Arial"/>
          <w:sz w:val="18"/>
          <w:szCs w:val="18"/>
          <w:color w:val="auto"/>
        </w:rPr>
        <w:t>Gaucher disease type 1 is the non-neuronopathic form of Gaucher disease, a rare, autosomal recessive, lysosomal disorder caused by a hereditary deficiency of functional GCase, an enzyme responsible for degrading glucocerebroside, a cell membrane building block, into glucose and lipids within lysosomes of cells. In patients with Gaucher disease type 1, the recycling of glucocerebroside from the breakdown of old red and white blood cells is inhibited, leading to its accumulation in macrophages. These abnormal macrophages, known as Gaucher cells, accumulate in multiple organs, particularly the liver, spleen and bone marrow.</w:t>
      </w:r>
    </w:p>
    <w:p>
      <w:pPr>
        <w:spacing w:after="0" w:line="188" w:lineRule="exact"/>
        <w:rPr>
          <w:sz w:val="20"/>
          <w:szCs w:val="20"/>
          <w:color w:val="auto"/>
        </w:rPr>
      </w:pPr>
    </w:p>
    <w:p>
      <w:pPr>
        <w:ind w:right="100" w:firstLine="546"/>
        <w:spacing w:after="0" w:line="254" w:lineRule="auto"/>
        <w:rPr>
          <w:sz w:val="20"/>
          <w:szCs w:val="20"/>
          <w:color w:val="auto"/>
        </w:rPr>
      </w:pPr>
      <w:r>
        <w:rPr>
          <w:rFonts w:ascii="Arial" w:cs="Arial" w:eastAsia="Arial" w:hAnsi="Arial"/>
          <w:sz w:val="18"/>
          <w:szCs w:val="18"/>
          <w:color w:val="auto"/>
        </w:rPr>
        <w:t>Gaucher disease type 1 is one of the most common lysosomal disorders. It is diagnosed in approximately one in 44,000 births worldwide and is more prevalent in certain ethnic groups, such as people of Ashkenazi Jewish heritage. Approximately 90% of patients suffering from Gaucher disease in western countries have Gaucher disease type 1, which manifests as multiple morbidities including enlargement of the spleen and liver, low red blood cells, or anemia, low platelet count, or thrombocytopenia, and bone abnormalities including bone pain, fractures and arthritis. Bruising, risk of bleeding and fatigue are common due to the thrombocytopenia and anemia. Compared with the general population, patients with Gaucher disease type 1 have an approximately 20-fold increased risk of developing Parkinson’s disease. Gaucher disease type 1 does not have manifestations of central nervous system symptoms.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right="280" w:firstLine="546"/>
        <w:spacing w:after="0" w:line="308" w:lineRule="auto"/>
        <w:rPr>
          <w:sz w:val="20"/>
          <w:szCs w:val="20"/>
          <w:color w:val="auto"/>
        </w:rPr>
      </w:pPr>
      <w:r>
        <w:rPr>
          <w:rFonts w:ascii="Arial" w:cs="Arial" w:eastAsia="Arial" w:hAnsi="Arial"/>
          <w:sz w:val="17"/>
          <w:szCs w:val="17"/>
          <w:color w:val="auto"/>
        </w:rPr>
        <w:t>Gaucher disease type 1 is currently treated with bi-weekly infusions of ERT consisting of recombinant GCase over a patient’s lifetime. The most commonly prescribed ERTs for Gaucher disease are Cerezyme, marketed by Sanofi Genzyme, and VPRIV, marketed by Shire.</w:t>
      </w:r>
    </w:p>
    <w:p>
      <w:pPr>
        <w:spacing w:after="0" w:line="146"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color w:val="auto"/>
        </w:rPr>
        <w:t>Although long-term ERT for Gaucher disease type 1 results in some therapeutic benefit, ERTs leave patients with significant unmet needs. Twenty-five percent of patients with Gaucher disease continue to experience physical limitations following two years of ERT, and a clinically significant percentage of patients continue to experience bone pain, thrombocytopenia and enlargement of spleen following ten years of ERT. In a published study of ERT therapy for Gaucher disease type 1, six target goals were evaluated, including parameters for hemoglobin and platelet levels, spleen and liver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volumes, and general bone pain and severe disabling bone pain known as bone crisis. Following at least four years of ERT in this study, approximately 60% of patients failed to achieve one or more of these six target goals.</w:t>
      </w:r>
    </w:p>
    <w:p>
      <w:pPr>
        <w:spacing w:after="0" w:line="170" w:lineRule="exact"/>
        <w:rPr>
          <w:sz w:val="20"/>
          <w:szCs w:val="20"/>
          <w:color w:val="auto"/>
        </w:rPr>
      </w:pPr>
    </w:p>
    <w:p>
      <w:pPr>
        <w:ind w:right="20" w:firstLine="546"/>
        <w:spacing w:after="0" w:line="301" w:lineRule="auto"/>
        <w:rPr>
          <w:sz w:val="20"/>
          <w:szCs w:val="20"/>
          <w:color w:val="auto"/>
        </w:rPr>
      </w:pPr>
      <w:r>
        <w:rPr>
          <w:rFonts w:ascii="Arial" w:cs="Arial" w:eastAsia="Arial" w:hAnsi="Arial"/>
          <w:sz w:val="16"/>
          <w:szCs w:val="16"/>
          <w:color w:val="auto"/>
        </w:rPr>
        <w:t>In addition to ERTs, the FDA has approved several oral therapies for the treatment of Gaucher disease, including Zavesca (miglustat) marketed by Actelion and Cerdelga (eliglustat) marketed by Sanofi Genzyme. We believe these oral therapies also provide suboptimal treatment. Zavesca is approved as a second line therapy and is associated with significant toxicities, including diarrhea, weight loss and tremors. Cerdelga is not approved for use in children, has highly variable metabolism due to patient-to-patient genetic variations and is highly susceptible to interactions with other drugs.</w:t>
      </w:r>
    </w:p>
    <w:p>
      <w:pPr>
        <w:spacing w:after="0" w:line="157" w:lineRule="exact"/>
        <w:rPr>
          <w:sz w:val="20"/>
          <w:szCs w:val="20"/>
          <w:color w:val="auto"/>
        </w:rPr>
      </w:pPr>
    </w:p>
    <w:p>
      <w:pPr>
        <w:ind w:right="220" w:firstLine="546"/>
        <w:spacing w:after="0" w:line="259" w:lineRule="auto"/>
        <w:rPr>
          <w:sz w:val="20"/>
          <w:szCs w:val="20"/>
          <w:color w:val="auto"/>
        </w:rPr>
      </w:pPr>
      <w:r>
        <w:rPr>
          <w:rFonts w:ascii="Arial" w:cs="Arial" w:eastAsia="Arial" w:hAnsi="Arial"/>
          <w:sz w:val="18"/>
          <w:szCs w:val="18"/>
          <w:color w:val="auto"/>
        </w:rPr>
        <w:t>Both ERTs and oral therapies for Gaucher type 1 impose significant costs on the healthcare system. We estimate that the average five-year cost to the healthcare system per Gaucher patient (all types) prescribed standard of care treatment in the United States is approximately $2.3 million. In 2020, Sanofi Genzyme’s Cerezyme and Cerdelga together generated worldwide net sales of approximately €924 million euros and Takeda’s VPRIV generated worldwide net sales of approximately ¥38.5 billion Japanese yen.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firstLine="546"/>
        <w:spacing w:after="0" w:line="286" w:lineRule="auto"/>
        <w:rPr>
          <w:sz w:val="20"/>
          <w:szCs w:val="20"/>
          <w:color w:val="auto"/>
        </w:rPr>
      </w:pPr>
      <w:r>
        <w:rPr>
          <w:rFonts w:ascii="Arial" w:cs="Arial" w:eastAsia="Arial" w:hAnsi="Arial"/>
          <w:sz w:val="17"/>
          <w:szCs w:val="17"/>
          <w:color w:val="auto"/>
        </w:rPr>
        <w:t xml:space="preserve">We are developing AVR-RD-02 to potentially provide a functional cure to patients with Gaucher disease type 1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AVR-RD-02 is a lentiviral-based gene therapy that contains a codon-optimized human gene and is designed to maximize the likelihood of sustained GCase production in hematopoietic stem cells and their progeny.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Ongoing Phase 1/2 Clinical Trial (Guard1)</w:t>
      </w:r>
    </w:p>
    <w:p>
      <w:pPr>
        <w:spacing w:after="0" w:line="117" w:lineRule="exact"/>
        <w:rPr>
          <w:sz w:val="20"/>
          <w:szCs w:val="20"/>
          <w:color w:val="auto"/>
        </w:rPr>
      </w:pPr>
    </w:p>
    <w:p>
      <w:pPr>
        <w:ind w:right="100" w:firstLine="546"/>
        <w:spacing w:after="0" w:line="271" w:lineRule="auto"/>
        <w:rPr>
          <w:sz w:val="20"/>
          <w:szCs w:val="20"/>
          <w:color w:val="auto"/>
        </w:rPr>
      </w:pPr>
      <w:r>
        <w:rPr>
          <w:rFonts w:ascii="Arial" w:cs="Arial" w:eastAsia="Arial" w:hAnsi="Arial"/>
          <w:sz w:val="17"/>
          <w:szCs w:val="17"/>
          <w:color w:val="auto"/>
        </w:rPr>
        <w:t>We have initiated our Guard1 Phase 1/2 clinical trial of AVR-RD-02 in patients with Gaucher disease type 1. Patient enrollment has commenced, and as of March 1, 2021 one patient has been dosed. This clinical trial is actively recruiting in Australia and Canada, with additional sites planned in the United States, Israel and Europe. Our initial clinical trial will be an adaptive trial that will include both treatment-naïve patients and patients that are currently stable on ERT. We intend to enroll eight to 16 patients, between the ages of 16 and 35, with Gaucher disease type 1. Patients currently prescribed ERT will cease treatment throughout the clinical trial. All enrolled patients will receive a single treatment with AVR-RD-02 and will be followed for 52 weeks to measure safety and efficacy. We intend to utilize our plato platform for all patients enrolling in our Phase 1/2 clinical trial of AVR-RD-02. Our efficacy endpoints for this clinical trial will include measures of clinical efficacy, such as liver and spleen volumes, hemoglobin, platelet counts, bone pain and bone density measures along with other blood markers used in Gaucher disease type 1.</w:t>
      </w:r>
    </w:p>
    <w:p>
      <w:pPr>
        <w:spacing w:after="0" w:line="178"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In February 2021 we presented data on the first patient in the Guard1 clinical trial, who discontinued ERT one month prior to dosing of AVR-RD-02 and remains off ERT as of February 8,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Plasma Lyso-Gb1 Reductions</w:t>
      </w:r>
    </w:p>
    <w:p>
      <w:pPr>
        <w:spacing w:after="0" w:line="225"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Glucosylsphingosine, or lyso-Gb1, is considered a surrogate marker for disease activity and treatment response for Gaucher disease type 1. In the case of ERT-naïve patients and patients who have discontinued ERT, we believe that reductions in lyso-Gb1 levels following treatment with gene therapy are likely driven by the therapeutic effect of gene therapy. In February 2021, we announced that the first patient in our Guard1 clinical trial exhibited a 44% reduction in plasma lyso-Gb1 levels six months post-administration of AVR-RD-02 as compared to baseline while on ERT. In this study baseline ERT is the measurement of a single plasma lyso-Gb1 value observed prior to initiating mobilization.</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Plasma Chitotriosidase Reductions</w:t>
      </w:r>
    </w:p>
    <w:p>
      <w:pPr>
        <w:spacing w:after="0" w:line="131" w:lineRule="exact"/>
        <w:rPr>
          <w:sz w:val="20"/>
          <w:szCs w:val="20"/>
          <w:color w:val="auto"/>
        </w:rPr>
      </w:pPr>
    </w:p>
    <w:p>
      <w:pPr>
        <w:ind w:right="160" w:firstLine="546"/>
        <w:spacing w:after="0" w:line="259" w:lineRule="auto"/>
        <w:rPr>
          <w:sz w:val="20"/>
          <w:szCs w:val="20"/>
          <w:color w:val="auto"/>
        </w:rPr>
      </w:pPr>
      <w:r>
        <w:rPr>
          <w:rFonts w:ascii="Arial" w:cs="Arial" w:eastAsia="Arial" w:hAnsi="Arial"/>
          <w:sz w:val="18"/>
          <w:szCs w:val="18"/>
          <w:color w:val="auto"/>
        </w:rPr>
        <w:t>Chitotriosidase is a biomarker of macrophage activation that is found in high levels in Gaucher patients where the macrophages have accumulated an excess lipid burden. In February 2021, we announced that at six months post-treatment with AVR-RD-02 the first patient in the Guard1 clinical trial exhibited a 49% reduction in chitotriosidase levels as compared to baseline while on ERT. In this study baseline ERT is the measurement of a single chitotriosidase value observed prior to initiating mobilization.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left="560"/>
        <w:spacing w:after="0"/>
        <w:rPr>
          <w:sz w:val="20"/>
          <w:szCs w:val="20"/>
          <w:color w:val="auto"/>
        </w:rPr>
      </w:pPr>
      <w:r>
        <w:rPr>
          <w:rFonts w:ascii="Arial" w:cs="Arial" w:eastAsia="Arial" w:hAnsi="Arial"/>
          <w:sz w:val="18"/>
          <w:szCs w:val="18"/>
          <w:i w:val="1"/>
          <w:iCs w:val="1"/>
          <w:color w:val="auto"/>
        </w:rPr>
        <w:t>Hemoglobin Concentration and Platelet Counts</w:t>
      </w:r>
    </w:p>
    <w:p>
      <w:pPr>
        <w:spacing w:after="0" w:line="131" w:lineRule="exact"/>
        <w:rPr>
          <w:sz w:val="20"/>
          <w:szCs w:val="20"/>
          <w:color w:val="auto"/>
        </w:rPr>
      </w:pPr>
    </w:p>
    <w:p>
      <w:pPr>
        <w:ind w:right="160" w:firstLine="546"/>
        <w:spacing w:after="0" w:line="291" w:lineRule="auto"/>
        <w:rPr>
          <w:sz w:val="20"/>
          <w:szCs w:val="20"/>
          <w:color w:val="auto"/>
        </w:rPr>
      </w:pPr>
      <w:r>
        <w:rPr>
          <w:rFonts w:ascii="Arial" w:cs="Arial" w:eastAsia="Arial" w:hAnsi="Arial"/>
          <w:sz w:val="16"/>
          <w:szCs w:val="16"/>
          <w:color w:val="auto"/>
        </w:rPr>
        <w:t>Gaucher disease type 1 typically causes patients to have low levels of hemoglobin and platelets. In February 2021, we presented data on the hemoglobin and platelet levels of the first patient dosed in the Guard1 clinical trial at screening, baseline and six months post-administration of AVR-RD-</w:t>
      </w:r>
    </w:p>
    <w:p>
      <w:pPr>
        <w:jc w:val="both"/>
        <w:ind w:right="280" w:firstLine="8"/>
        <w:spacing w:after="0" w:line="277" w:lineRule="auto"/>
        <w:tabs>
          <w:tab w:leader="none" w:pos="27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baseline measurement was taken one month prior to discontinuation of ERT. At screening, baseline and six months post-treatment, the patient’s platelet counts were 455x10</w:t>
      </w:r>
      <w:r>
        <w:rPr>
          <w:rFonts w:ascii="Arial" w:cs="Arial" w:eastAsia="Arial" w:hAnsi="Arial"/>
          <w:sz w:val="14"/>
          <w:szCs w:val="14"/>
          <w:color w:val="auto"/>
        </w:rPr>
        <w:t>9</w:t>
      </w:r>
      <w:r>
        <w:rPr>
          <w:rFonts w:ascii="Arial" w:cs="Arial" w:eastAsia="Arial" w:hAnsi="Arial"/>
          <w:sz w:val="17"/>
          <w:szCs w:val="17"/>
          <w:color w:val="auto"/>
        </w:rPr>
        <w:t>/L, 432x10</w:t>
      </w:r>
      <w:r>
        <w:rPr>
          <w:rFonts w:ascii="Arial" w:cs="Arial" w:eastAsia="Arial" w:hAnsi="Arial"/>
          <w:sz w:val="14"/>
          <w:szCs w:val="14"/>
          <w:color w:val="auto"/>
        </w:rPr>
        <w:t>9</w:t>
      </w:r>
      <w:r>
        <w:rPr>
          <w:rFonts w:ascii="Arial" w:cs="Arial" w:eastAsia="Arial" w:hAnsi="Arial"/>
          <w:sz w:val="17"/>
          <w:szCs w:val="17"/>
          <w:color w:val="auto"/>
        </w:rPr>
        <w:t>/L and 351 x10</w:t>
      </w:r>
      <w:r>
        <w:rPr>
          <w:rFonts w:ascii="Arial" w:cs="Arial" w:eastAsia="Arial" w:hAnsi="Arial"/>
          <w:sz w:val="14"/>
          <w:szCs w:val="14"/>
          <w:color w:val="auto"/>
        </w:rPr>
        <w:t>9</w:t>
      </w:r>
      <w:r>
        <w:rPr>
          <w:rFonts w:ascii="Arial" w:cs="Arial" w:eastAsia="Arial" w:hAnsi="Arial"/>
          <w:sz w:val="17"/>
          <w:szCs w:val="17"/>
          <w:color w:val="auto"/>
        </w:rPr>
        <w:t>/L, respectively, and the patient’s hemoglobin concentration was 12.5 g/dL, 11.2 g/dL and 12.2 g/dL, respectively. Both six-month measurements are within the normal range for a healthy individual.</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Vector Copy Number</w:t>
      </w:r>
    </w:p>
    <w:p>
      <w:pPr>
        <w:spacing w:after="0" w:line="117" w:lineRule="exact"/>
        <w:rPr>
          <w:sz w:val="20"/>
          <w:szCs w:val="20"/>
          <w:color w:val="auto"/>
        </w:rPr>
      </w:pPr>
    </w:p>
    <w:p>
      <w:pPr>
        <w:jc w:val="both"/>
        <w:ind w:right="160" w:firstLine="546"/>
        <w:spacing w:after="0" w:line="286" w:lineRule="auto"/>
        <w:rPr>
          <w:sz w:val="20"/>
          <w:szCs w:val="20"/>
          <w:color w:val="auto"/>
        </w:rPr>
      </w:pPr>
      <w:r>
        <w:rPr>
          <w:rFonts w:ascii="Arial" w:cs="Arial" w:eastAsia="Arial" w:hAnsi="Arial"/>
          <w:sz w:val="17"/>
          <w:szCs w:val="17"/>
          <w:color w:val="auto"/>
        </w:rPr>
        <w:t>In February 2021 we presented VCN data for the first patient dosed in the Guard1 trial. At six months post-treatment, the patient exhibited a VCN of 0.6. In addition, at three months post-treatment an exploratory assessment of VCN in specific cell populations showed a VCN ≥ 0.7 in the myeloid cell lines, which we believe could be indicative of transgene presence in the macrophages, the essential cell impacted in Gaucher patients.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Safety</w:t>
      </w:r>
    </w:p>
    <w:p>
      <w:pPr>
        <w:spacing w:after="0" w:line="117" w:lineRule="exact"/>
        <w:rPr>
          <w:sz w:val="20"/>
          <w:szCs w:val="20"/>
          <w:color w:val="auto"/>
        </w:rPr>
      </w:pPr>
    </w:p>
    <w:p>
      <w:pPr>
        <w:ind w:right="20" w:firstLine="546"/>
        <w:spacing w:after="0" w:line="296" w:lineRule="auto"/>
        <w:rPr>
          <w:sz w:val="20"/>
          <w:szCs w:val="20"/>
          <w:color w:val="auto"/>
        </w:rPr>
      </w:pPr>
      <w:r>
        <w:rPr>
          <w:rFonts w:ascii="Arial" w:cs="Arial" w:eastAsia="Arial" w:hAnsi="Arial"/>
          <w:sz w:val="16"/>
          <w:szCs w:val="16"/>
          <w:color w:val="auto"/>
        </w:rPr>
        <w:t>As of the safety cut-off date of January 4, 2021, preliminary interim clinical data for the first patient dosed in the Guard1 clinical trial appear to indicate that the AVR-RD-02 investigational gene therapy has been generally well tolerated with no unexpected safety events identified. There have been no reports of safety events attributed to the AVR-RD-02 drug product, and no SAEs were reported as of the safety data cut-off date. A total of 29 AEs were reported as of the safety cut-off date, two of which were Grade 4 and seven of which were Grade 3. The remainder of the AEs were Grade 2 or Grade 1. All reported AEs were consistent with expectations for the underlying disease and conditioning regimen prescribed by the study protocol and have resolved.</w:t>
      </w:r>
    </w:p>
    <w:p>
      <w:pPr>
        <w:spacing w:after="0" w:line="161"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Because this clinical trial is ongoing, safety and efficacy data are preliminary and subject to change. As is typical in open-label studies in which interim reports are provided, the data are regularly reviewed and validated. As a result, certain data may change over time, including reductions or increases in the number of reported safety events, until the database is locked at the end of the study.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AVR-RD-05, Our Gene Therapy for Hunter Syndrome</w:t>
      </w:r>
    </w:p>
    <w:p>
      <w:pPr>
        <w:spacing w:after="0" w:line="121" w:lineRule="exact"/>
        <w:rPr>
          <w:sz w:val="20"/>
          <w:szCs w:val="20"/>
          <w:color w:val="auto"/>
        </w:rPr>
      </w:pPr>
    </w:p>
    <w:p>
      <w:pPr>
        <w:ind w:right="360" w:firstLine="546"/>
        <w:spacing w:after="0" w:line="279" w:lineRule="auto"/>
        <w:rPr>
          <w:sz w:val="20"/>
          <w:szCs w:val="20"/>
          <w:color w:val="auto"/>
        </w:rPr>
      </w:pPr>
      <w:r>
        <w:rPr>
          <w:rFonts w:ascii="Arial" w:cs="Arial" w:eastAsia="Arial" w:hAnsi="Arial"/>
          <w:sz w:val="17"/>
          <w:szCs w:val="17"/>
          <w:color w:val="auto"/>
        </w:rPr>
        <w:t xml:space="preserve">We are developing AVR-RD-05 for the treatment of mucopolysaccharidosis type II (MPSII), or Hunter syndrome. AVR-RD-05 involves </w:t>
      </w:r>
      <w:r>
        <w:rPr>
          <w:rFonts w:ascii="Arial" w:cs="Arial" w:eastAsia="Arial" w:hAnsi="Arial"/>
          <w:sz w:val="17"/>
          <w:szCs w:val="17"/>
          <w:i w:val="1"/>
          <w:iCs w:val="1"/>
          <w:color w:val="auto"/>
        </w:rPr>
        <w:t>ex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transduction of the patient’s own hematopoietic stem cells with a therapeutic transgene, in-licensed from the University of Manchester, or UoM,</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express functional iduronate 2-sulfatase, or IDS, which is the enzyme the patient needs to maintain cellular health, coupled to a proprietary ApoE2 protein tag that is designed to improve stability of the enzyme in the bloodstream and facilitate uptake by tissues.</w:t>
      </w:r>
    </w:p>
    <w:p>
      <w:pPr>
        <w:spacing w:after="0" w:line="171" w:lineRule="exact"/>
        <w:rPr>
          <w:sz w:val="20"/>
          <w:szCs w:val="20"/>
          <w:color w:val="auto"/>
        </w:rPr>
      </w:pPr>
    </w:p>
    <w:p>
      <w:pPr>
        <w:ind w:right="660" w:firstLine="546"/>
        <w:spacing w:after="0" w:line="277" w:lineRule="auto"/>
        <w:rPr>
          <w:sz w:val="20"/>
          <w:szCs w:val="20"/>
          <w:color w:val="auto"/>
        </w:rPr>
      </w:pPr>
      <w:r>
        <w:rPr>
          <w:rFonts w:ascii="Arial" w:cs="Arial" w:eastAsia="Arial" w:hAnsi="Arial"/>
          <w:sz w:val="18"/>
          <w:szCs w:val="18"/>
          <w:color w:val="auto"/>
        </w:rPr>
        <w:t>AVR-RD-05 will be studied by our collaborators at UoM and a Phase 1/2 investigator-sponsored clinical trial of AVR-RD-05 is expected to commence in the first half of 2022.</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right="140" w:firstLine="546"/>
        <w:spacing w:after="0" w:line="219" w:lineRule="exact"/>
        <w:rPr>
          <w:sz w:val="20"/>
          <w:szCs w:val="20"/>
          <w:color w:val="auto"/>
        </w:rPr>
      </w:pPr>
      <w:r>
        <w:rPr>
          <w:rFonts w:ascii="Arial" w:cs="Arial" w:eastAsia="Arial" w:hAnsi="Arial"/>
          <w:sz w:val="16"/>
          <w:szCs w:val="16"/>
          <w:color w:val="auto"/>
        </w:rPr>
        <w:t>Hunter syndrome disease is a rare, recessive lysosomal disorder caused by a mutation in the gene that encodes for IDS that results in accumulation of the glycosaminoglycans heparan and dermatan sulfate. Hunter syndrome affects a multitude of organs and is a chronic and progressive multi</w:t>
      </w:r>
      <w:r>
        <w:rPr>
          <w:rFonts w:ascii="MS PGothic" w:cs="MS PGothic" w:eastAsia="MS PGothic" w:hAnsi="MS PGothic"/>
          <w:sz w:val="16"/>
          <w:szCs w:val="16"/>
          <w:color w:val="auto"/>
        </w:rPr>
        <w:t>‐</w:t>
      </w:r>
      <w:r>
        <w:rPr>
          <w:rFonts w:ascii="Arial" w:cs="Arial" w:eastAsia="Arial" w:hAnsi="Arial"/>
          <w:sz w:val="16"/>
          <w:szCs w:val="16"/>
          <w:color w:val="auto"/>
        </w:rPr>
        <w:t>system disorder. Clinical manifestations in Hunter syndrome include skeletal abnormalities, known as dysostosis multiplex, short stature, joint stiffness, and hepatosplenomegaly, accompanied by cardiorespiratory symptoms. Severe cases of Hunter syndrome, which are most common, also feature progressive neurodegeneration, typically followed by death in teenage years due to obstructive airway disease and cardiac failure.</w:t>
      </w:r>
    </w:p>
    <w:p>
      <w:pPr>
        <w:spacing w:after="0" w:line="204" w:lineRule="exact"/>
        <w:rPr>
          <w:sz w:val="20"/>
          <w:szCs w:val="20"/>
          <w:color w:val="auto"/>
        </w:rPr>
      </w:pPr>
    </w:p>
    <w:p>
      <w:pPr>
        <w:ind w:right="280" w:firstLine="546"/>
        <w:spacing w:after="0" w:line="263" w:lineRule="auto"/>
        <w:rPr>
          <w:sz w:val="20"/>
          <w:szCs w:val="20"/>
          <w:color w:val="auto"/>
        </w:rPr>
      </w:pPr>
      <w:r>
        <w:rPr>
          <w:rFonts w:ascii="Arial" w:cs="Arial" w:eastAsia="Arial" w:hAnsi="Arial"/>
          <w:sz w:val="18"/>
          <w:szCs w:val="18"/>
          <w:color w:val="auto"/>
        </w:rPr>
        <w:t>Hunter syndrome is an X-linked disorder, meaning the gene that is responsible is located on the X chromosome. Because males have only one X chromosome, an abnormal copy of the gene that causes Hunter syndrome disease is sufficient to cause the disease. The overall diagnosed incidence of Hunter syndrome is estimated to be approximately one in 100,000 to one in 170,000 males worldwide.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5" w:name="page26"/>
    <w:bookmarkEnd w:id="25"/>
    <w:p>
      <w:pPr>
        <w:ind w:left="56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right="220" w:firstLine="546"/>
        <w:spacing w:after="0" w:line="311" w:lineRule="auto"/>
        <w:rPr>
          <w:sz w:val="20"/>
          <w:szCs w:val="20"/>
          <w:color w:val="auto"/>
        </w:rPr>
      </w:pPr>
      <w:r>
        <w:rPr>
          <w:rFonts w:ascii="Arial" w:cs="Arial" w:eastAsia="Arial" w:hAnsi="Arial"/>
          <w:sz w:val="16"/>
          <w:szCs w:val="16"/>
          <w:color w:val="auto"/>
        </w:rPr>
        <w:t>Hunter syndrome is currently treated with ERT delivered by weekly intravenous infusion. The only approved therapy for Hunter syndrome is Elaprase, marketed by Shire, which generated worldwide net sales of approximately ¥67 billion Japanese yen in 2020. We estimate that the average five-year cost to the healthcare system per Hunter patient prescribed standard of care treatment in the United States is approximately $2.4 million.</w:t>
      </w:r>
    </w:p>
    <w:p>
      <w:pPr>
        <w:spacing w:after="0" w:line="149"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Two-thirds of patients experience developmental and neurological decline, which is often noted by approximately age two. Due to lack of newborn screening, diagnosis usually occurs much later in patient’s lives, around five years of age and can be as late as eight years. Although patients typically begin ERT treatment almost immediately after diagnosis, often the disease symptoms are far advanced and ERT is insufficient to halt the disease progression. ERT does not treat the neurological symptoms of the disease, and therefore a significant unmet need remains in a majority of patients with Hunter syndrome. Furthermore, anti-ERT antibodies are a limitation for a significant part of the entire patient population.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We, together with our collaborators at UoM, are developing AVR-RD-05 to potentially provide a functional cure to patients with Hunter syndrome. AVR-RD-05 is intended to be a gene therapy product containing a codon-optimized human gene for IDS attached to a ApoE2 protein tag designed to increase the cells’ secretion of IDS to potentially restore healthy cellular function, stabilize the secreted IDS so it has a longer half-life, and facilitate uptake of IDS into the brain. In addition, we believe that the utilization of busulfan in our conditioning regimen may have the potential to allow AVR-RD-05 to cross the blood-brain barrier, a feature which may yield therapeutic benefit.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November 2020, we presented previously published preclinical data on AVR-RD-05. The study presented data from normal study mice, mice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affected with the equivalent of Hunter syndrome, mice treated with AVR-RD-05 modified to not incorporate the ApoE2 protein tag, and mice treated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 AVR-RD-05 incorporating the proprietary ApoE2 tag. These data demonstrated the effect of AVR-RD-05 on levels and composition of heparan sulfate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brain, neuro-inflammatory pathologies, facial and skeletal abnormalities, as well as cognitive performance and sensorimotor coordination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balance. We believe these data support the potential of AVR-RD-05 to treat this progressive disease, and potentially prevent the onset of severe symptoms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if treated early.</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Planned Phase 1/2 Investigator-Sponsored Clinical Trial</w:t>
      </w:r>
    </w:p>
    <w:p>
      <w:pPr>
        <w:spacing w:after="0" w:line="117"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Our collaborators at UoM plan to initiate a Phase 1/2 clinical trial in the first half of 2022. The Phase 1/2 clinical trial is expected to enroll five male patients, age three months to 24 months, with an early progressive form of the disease. The clinical trial is expected to be open to treatment-naïve patients as well as patients currently on ERT. The clinical trial’s primary endpoints are expected to be safety and tolerability. Secondary endpoints to assess preliminary efficacy are expected to include measurements of IDS levels and its activity as well as levels of glycosaminoglycans. Neurocognitive evaluations will also be conducted to evaluate therapeutic activity in the brain.</w:t>
      </w:r>
    </w:p>
    <w:p>
      <w:pPr>
        <w:spacing w:after="0" w:line="188" w:lineRule="exact"/>
        <w:rPr>
          <w:sz w:val="20"/>
          <w:szCs w:val="20"/>
          <w:color w:val="auto"/>
        </w:rPr>
      </w:pPr>
    </w:p>
    <w:p>
      <w:pPr>
        <w:ind w:right="400" w:firstLine="546"/>
        <w:spacing w:after="0" w:line="277" w:lineRule="auto"/>
        <w:rPr>
          <w:sz w:val="20"/>
          <w:szCs w:val="20"/>
          <w:color w:val="auto"/>
        </w:rPr>
      </w:pPr>
      <w:r>
        <w:rPr>
          <w:rFonts w:ascii="Arial" w:cs="Arial" w:eastAsia="Arial" w:hAnsi="Arial"/>
          <w:sz w:val="18"/>
          <w:szCs w:val="18"/>
          <w:color w:val="auto"/>
        </w:rPr>
        <w:t>Because this is an investigator-sponsored clinical, the study drug will not be manufactured using our plato platform, and neither the automated, closed manufacturing system nor LV2 will be used in connection with this clinical trial.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AVR-RD-06, Our Gene Therapy for Gaucher disease type 3</w:t>
      </w:r>
    </w:p>
    <w:p>
      <w:pPr>
        <w:spacing w:after="0" w:line="121" w:lineRule="exact"/>
        <w:rPr>
          <w:sz w:val="20"/>
          <w:szCs w:val="20"/>
          <w:color w:val="auto"/>
        </w:rPr>
      </w:pPr>
    </w:p>
    <w:p>
      <w:pPr>
        <w:ind w:right="140" w:firstLine="546"/>
        <w:spacing w:after="0" w:line="293" w:lineRule="auto"/>
        <w:rPr>
          <w:sz w:val="20"/>
          <w:szCs w:val="20"/>
          <w:color w:val="auto"/>
        </w:rPr>
      </w:pPr>
      <w:r>
        <w:rPr>
          <w:rFonts w:ascii="Arial" w:cs="Arial" w:eastAsia="Arial" w:hAnsi="Arial"/>
          <w:sz w:val="16"/>
          <w:szCs w:val="16"/>
          <w:color w:val="auto"/>
        </w:rPr>
        <w:t>In November 2020, we announced an expansion of our lysosomal disorder pipeline with a new preclinical product candidate, AVR-RD-06, our investigational gene therapy for Gaucher disease type 3. Gaucher disease type 3 is the subacute neurological form of Gaucher disease characterized by progressive encephalopathy and associated with the systemic manifestations of Gaucher type 1. As with Gaucher type 1, Gaucher type 3 disease is caused by a gene that codes for the enzyme glucocerebrosidase. The deficiency in glucocerebrosidase leads to the accumulation of Gb1 and its toxic metabolite, lyso-Gb1. AVR-RD-06 is expected to use the same vector and drug product that we use in AVR-RD-02, our investigational gene therapy for Gaucher disease type 1. We currently expect to request a meeting with the FDA this year to discuss a potential path to the clinic for AVR-RD-06.</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ind w:left="5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Gaucher disease type 3 is the subacute, chronic neurological form of Gaucher disease, a rare, autosomal recessive, lysosomal disorder caused by a hereditary deficiency of functional GCase, an enzyme responsible for degrading glucocerebroside, a cell membrane building block, into glucose and lipids within lysosomes of cells. In patients with Gaucher type 3 disease, the recycling of glucocerebroside from the breakdown of old red and white blood cells is inhibited, leading to its accumulation in macrophages. These abnormal macrophages, known as Gaucher cells, accumulate in multiple organs, particularly the liver, spleen and bone marrow. In addition, glucosylceramide accumulates in perivascular macrophages and brain glial cells and neurons leading to neuronal death. Clinically, central nervous system manifestations of Gaucher disease type 3 appear in childhood or adolescence, typically within the latter part of the first decade for the majority of patients, although the course of disease is markedly heterogenous.</w:t>
      </w:r>
    </w:p>
    <w:p>
      <w:pPr>
        <w:spacing w:after="0" w:line="177" w:lineRule="exact"/>
        <w:rPr>
          <w:sz w:val="20"/>
          <w:szCs w:val="20"/>
          <w:color w:val="auto"/>
        </w:rPr>
      </w:pPr>
    </w:p>
    <w:p>
      <w:pPr>
        <w:ind w:right="80" w:firstLine="546"/>
        <w:spacing w:after="0" w:line="254" w:lineRule="auto"/>
        <w:rPr>
          <w:sz w:val="20"/>
          <w:szCs w:val="20"/>
          <w:color w:val="auto"/>
        </w:rPr>
      </w:pPr>
      <w:r>
        <w:rPr>
          <w:rFonts w:ascii="Arial" w:cs="Arial" w:eastAsia="Arial" w:hAnsi="Arial"/>
          <w:sz w:val="18"/>
          <w:szCs w:val="18"/>
          <w:color w:val="auto"/>
        </w:rPr>
        <w:t>Gaucher disease type 3 is estimated to occur in one in 100,000-300,00 births and is more prevalent in certain ethnic groups, such as people of Swedish Norrbottnian descent. Systemic manifestations of Gaucher disease type 3 may include enlargement of the spleen and liver, low red blood cells, or anemia, low platelet count, or thrombocytopenia, and bone abnormalities including bone pain, fractures and arthritis. Bruising, risk of bleeding and fatigue are common due to the thrombocytopenia and anemia. Variable other features of Gaucher disease type 3 include pulmonary infiltrates and esophageal varices associated with liver cirrhosis. Presentation of diverse neurologic features may begin at any time during infancy and early childhood with the most prevalent finding of horizontal supranuclear gaze palsy. Other manifestations of neurological disease include generalized seizures, myoclonus, ataxia, and/or dementia.</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right="260" w:firstLine="546"/>
        <w:spacing w:after="0" w:line="263" w:lineRule="auto"/>
        <w:rPr>
          <w:sz w:val="20"/>
          <w:szCs w:val="20"/>
          <w:color w:val="auto"/>
        </w:rPr>
      </w:pPr>
      <w:r>
        <w:rPr>
          <w:rFonts w:ascii="Arial" w:cs="Arial" w:eastAsia="Arial" w:hAnsi="Arial"/>
          <w:sz w:val="18"/>
          <w:szCs w:val="18"/>
          <w:color w:val="auto"/>
        </w:rPr>
        <w:t>Current therapies used to treat Gaucher disease type 1, namely, ERT and substrate reduction therapy, or SRT, do not penetrate the brain and therefore have no effect on the neurological aspects of Gaucher disease type 3. The most commonly prescribed ERTs for Gaucher disease are Cerezyme, marketed by Sanofi Genzyme, and VPRIV, marketed by Shire.</w:t>
      </w:r>
    </w:p>
    <w:p>
      <w:pPr>
        <w:spacing w:after="0" w:line="184" w:lineRule="exact"/>
        <w:rPr>
          <w:sz w:val="20"/>
          <w:szCs w:val="20"/>
          <w:color w:val="auto"/>
        </w:rPr>
      </w:pPr>
    </w:p>
    <w:p>
      <w:pPr>
        <w:ind w:right="60" w:firstLine="546"/>
        <w:spacing w:after="0" w:line="272" w:lineRule="auto"/>
        <w:rPr>
          <w:sz w:val="20"/>
          <w:szCs w:val="20"/>
          <w:color w:val="auto"/>
        </w:rPr>
      </w:pPr>
      <w:r>
        <w:rPr>
          <w:rFonts w:ascii="Arial" w:cs="Arial" w:eastAsia="Arial" w:hAnsi="Arial"/>
          <w:sz w:val="17"/>
          <w:szCs w:val="17"/>
          <w:color w:val="auto"/>
        </w:rPr>
        <w:t>Patients with Gaucher disease type 3 may exhibit wide variation of disease progression with the severity of systemic disease and neurological deficits differing considerably between patients. In a published study of SRT therapy for Gaucher disease type 3, no significant benefits were demonstrated on the neurological manifestations of Gaucher disease type 3. Although long-term ERT for Gaucher disease type 3 results in some therapeutic benefit on visceral, hematological and bone manifestations, ERTs leave patients with significant unmet needs owing to persisting accumulation of substrate within the central nervous system. Following 10 years of ERT, two patients’ epilepsy had worsened while a third patient developed epilepsy around eight years after treatment initiation. Another published study on ERT showed that enzyme infusions had no effect on patients with myoclonus and approximately 40% of patients deteriorated neurologically during a median 3.5 year follow-up period.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firstLine="546"/>
        <w:spacing w:after="0" w:line="286" w:lineRule="auto"/>
        <w:rPr>
          <w:sz w:val="20"/>
          <w:szCs w:val="20"/>
          <w:color w:val="auto"/>
        </w:rPr>
      </w:pPr>
      <w:r>
        <w:rPr>
          <w:rFonts w:ascii="Arial" w:cs="Arial" w:eastAsia="Arial" w:hAnsi="Arial"/>
          <w:sz w:val="17"/>
          <w:szCs w:val="17"/>
          <w:color w:val="auto"/>
        </w:rPr>
        <w:t xml:space="preserve">We are developing AVR-RD-06 to potentially provide a functional cure to patients with Gaucher disease type 3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AVR-RD-06 is a lentiviral-based gene therapy that contains a codon-optimized human gene and is designed to maximize the likelihood of sustained GCase production in hematopoietic stem cells and their progeny.</w:t>
      </w:r>
    </w:p>
    <w:p>
      <w:pPr>
        <w:spacing w:after="0" w:line="31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right="140" w:firstLine="546"/>
        <w:spacing w:after="0" w:line="296" w:lineRule="auto"/>
        <w:rPr>
          <w:sz w:val="20"/>
          <w:szCs w:val="20"/>
          <w:color w:val="auto"/>
        </w:rPr>
      </w:pPr>
      <w:r>
        <w:rPr>
          <w:rFonts w:ascii="Arial" w:cs="Arial" w:eastAsia="Arial" w:hAnsi="Arial"/>
          <w:sz w:val="16"/>
          <w:szCs w:val="16"/>
          <w:color w:val="auto"/>
        </w:rPr>
        <w:t>In November 2020, we presented preclinical data from a mouse study which we believe demonstrate the potential of lentiviral gene therapy to repopulate the microglia compartment of the brain with microglia cells carrying the therapeutic gene. We also presented preclinical data demonstrating a technique that potentially allows us to examine individual cells in the brain to determine which cell types contain the therapeutic gene. Finally, we presented data comparing the genetically modified microglia and endogenous microglia, which we believe suggest that even though the modified cells are not native to the brain, they do not act as “invaders” and thus could be expected to carry out normal physiological functions.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AVR-RD-03, Our Gene Therapy for Pompe Disease</w:t>
      </w:r>
    </w:p>
    <w:p>
      <w:pPr>
        <w:spacing w:after="0" w:line="121" w:lineRule="exact"/>
        <w:rPr>
          <w:sz w:val="20"/>
          <w:szCs w:val="20"/>
          <w:color w:val="auto"/>
        </w:rPr>
      </w:pPr>
    </w:p>
    <w:p>
      <w:pPr>
        <w:ind w:right="160" w:firstLine="546"/>
        <w:spacing w:after="0" w:line="263" w:lineRule="auto"/>
        <w:rPr>
          <w:sz w:val="20"/>
          <w:szCs w:val="20"/>
          <w:color w:val="auto"/>
        </w:rPr>
      </w:pPr>
      <w:r>
        <w:rPr>
          <w:rFonts w:ascii="Arial" w:cs="Arial" w:eastAsia="Arial" w:hAnsi="Arial"/>
          <w:sz w:val="18"/>
          <w:szCs w:val="18"/>
          <w:color w:val="auto"/>
        </w:rPr>
        <w:t>We are developing AVR-RD-03 for the treatment of Pompe disease. We will manufacture AVR-RD-03 from hematopoietic stem cells that are first harvested from the patient, modified to add the gene that encodes for acid alpha glucosidase A, or GAA, attached to a peptide sequence known as a glycosylation-independent lysosomal targeting, or GILT,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ind w:right="60"/>
        <w:spacing w:after="0" w:line="311" w:lineRule="auto"/>
        <w:rPr>
          <w:sz w:val="20"/>
          <w:szCs w:val="20"/>
          <w:color w:val="auto"/>
        </w:rPr>
      </w:pPr>
      <w:r>
        <w:rPr>
          <w:rFonts w:ascii="Arial" w:cs="Arial" w:eastAsia="Arial" w:hAnsi="Arial"/>
          <w:sz w:val="16"/>
          <w:szCs w:val="16"/>
          <w:color w:val="auto"/>
        </w:rPr>
        <w:t>tag and then infused into the patient. AVR-RD-03 will incorporate a GILT tag because the GILT tag has been found to increase the uptake of GAA into cells, especially in muscle cells by a multiple of 25, which is a particularly important target tissue for patients with Pompe disease and a target tissue that is considered difficult to access for ERT. AVR-RD-03 is designed to incorporate a potent promoter to increase volume of system enzyme in circulation.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right="20" w:firstLine="546"/>
        <w:spacing w:after="0" w:line="301" w:lineRule="auto"/>
        <w:rPr>
          <w:sz w:val="20"/>
          <w:szCs w:val="20"/>
          <w:color w:val="auto"/>
        </w:rPr>
      </w:pPr>
      <w:r>
        <w:rPr>
          <w:rFonts w:ascii="Arial" w:cs="Arial" w:eastAsia="Arial" w:hAnsi="Arial"/>
          <w:sz w:val="16"/>
          <w:szCs w:val="16"/>
          <w:color w:val="auto"/>
        </w:rPr>
        <w:t>Pompe disease is a rare, autosomal recessive lysosomal disorder caused by a mutation in the gene that encodes for GAA that results in the buildup of glycogen, a complex sugar, in the body’s cells. The accumulation of glycogen in certain organs and tissues, especially muscles, impairs normal tissue and organ function. Patients with Pompe disease experience serious muscle related problems, including progressive muscle weakness, especially in the legs and trunk, and the muscles that control breathing. As the disorder progresses, breathing problems can lead to respiratory failure.</w:t>
      </w:r>
    </w:p>
    <w:p>
      <w:pPr>
        <w:spacing w:after="0" w:line="157" w:lineRule="exact"/>
        <w:rPr>
          <w:sz w:val="20"/>
          <w:szCs w:val="20"/>
          <w:color w:val="auto"/>
        </w:rPr>
      </w:pPr>
    </w:p>
    <w:p>
      <w:pPr>
        <w:ind w:right="440" w:firstLine="546"/>
        <w:spacing w:after="0" w:line="263" w:lineRule="auto"/>
        <w:rPr>
          <w:sz w:val="20"/>
          <w:szCs w:val="20"/>
          <w:color w:val="auto"/>
        </w:rPr>
      </w:pPr>
      <w:r>
        <w:rPr>
          <w:rFonts w:ascii="Arial" w:cs="Arial" w:eastAsia="Arial" w:hAnsi="Arial"/>
          <w:sz w:val="18"/>
          <w:szCs w:val="18"/>
          <w:color w:val="auto"/>
        </w:rPr>
        <w:t>The overall diagnosed incidence of Pompe disease is estimated to be approximately one in 58,000 people although frequency and disease progression varies with age of onset, ethnicity and geography. Overall diagnosed incidence of Pompe disease is projected to increase to one in 22,000 people as it is increasingly included in newborn screening panels.</w:t>
      </w:r>
    </w:p>
    <w:p>
      <w:pPr>
        <w:spacing w:after="0" w:line="184" w:lineRule="exact"/>
        <w:rPr>
          <w:sz w:val="20"/>
          <w:szCs w:val="20"/>
          <w:color w:val="auto"/>
        </w:rPr>
      </w:pPr>
    </w:p>
    <w:p>
      <w:pPr>
        <w:ind w:right="60" w:firstLine="546"/>
        <w:spacing w:after="0" w:line="272" w:lineRule="auto"/>
        <w:rPr>
          <w:sz w:val="20"/>
          <w:szCs w:val="20"/>
          <w:color w:val="auto"/>
        </w:rPr>
      </w:pPr>
      <w:r>
        <w:rPr>
          <w:rFonts w:ascii="Arial" w:cs="Arial" w:eastAsia="Arial" w:hAnsi="Arial"/>
          <w:sz w:val="17"/>
          <w:szCs w:val="17"/>
          <w:color w:val="auto"/>
        </w:rPr>
        <w:t>The severity of Pompe disease symptoms and rate of progression is highly variable and correlated with age of symptom onset and the degree of enzyme deficiency. Infantile or early onset disease, the most severe form of Pompe disease, accounts for approximately 25% of all affected patients. Those with early-onset disease are usually diagnosed in the first few months of life and is associated with cardiomyopathy. Left untreated, these patients can die due to heart failure, respiratory distress or malnutrition resulting from feeding difficulties within the first year of life. Patients with late-onset disease typically have higher enzyme levels and usually have symptoms such as reduced mobility and respiratory problems but are not at increased risk of developing cardiomyopathy. Late-onset patients experience progressive difficulty walking and respiratory decline. While life expectancy can vary, Pompe disease is a life-limiting disease that can result in death due to complications from respiratory failure.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Pompe disease is currently treated with ERT delivered by bi-weekly intravenous infusion. The only approved therapy for Pompe disease 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Lumizyme (known as Myozyme outside of the United States), marketed by Sanofi Genzyme, which generated worldwide net sales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€948 million euros in 2020. We estimate that the average five-year cost to the healthcare system per Pompe patient prescribed standard of care treatment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United States is approximately $3.2 million.</w:t>
      </w:r>
    </w:p>
    <w:p>
      <w:pPr>
        <w:spacing w:after="0" w:line="211"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Though patients treated with ERT for Pompe disease have improved survival and respiratory function, ERT is not curative, and patients in long-term observational studies continue to have increased risk of heart failure and have residual muscle weakness including difficulties swallowing with risk of aspiration. One challenge with ERT treatment for Pompe disease is that a standard dose requires approximately twenty-fold more enzyme compared to standard doses for Fabry or Gaucher diseases. Large doses of Lumizyme that are delivered systemically in order to achieve potentially therapeutic levels in the target tissues result in approximately 90% of patients developing antibodies against the therapy. These antibody responses may impact both the efficacy and safety of Lumizyme. The FDA approval of Lumizyme carries a black box warning related to the risk of severe allergic and immune mediated reactions, including life-threatening anaphylaxis.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220" w:firstLine="546"/>
        <w:spacing w:after="0" w:line="296" w:lineRule="auto"/>
        <w:rPr>
          <w:sz w:val="20"/>
          <w:szCs w:val="20"/>
          <w:color w:val="auto"/>
        </w:rPr>
      </w:pPr>
      <w:r>
        <w:rPr>
          <w:rFonts w:ascii="Arial" w:cs="Arial" w:eastAsia="Arial" w:hAnsi="Arial"/>
          <w:sz w:val="16"/>
          <w:szCs w:val="16"/>
          <w:color w:val="auto"/>
        </w:rPr>
        <w:t>Our AVR-RD-03 program for Pompe disease is currently in preclinical development, and in 2020 we completed IND-enabling proof-of-concept preclinical studies, with toxicology studies expected to be completed in 2021.We are developing AVR-RD-03 to be a gene therapy product containing a codon-optimized human gene for GAA attached to a GILT tag designed to increase uptake of GAA in muscle cells. AVR-RD-03 will target patients with late onset Pompe disease, which represent the majority of patients with this disease. In addition, we believe that the utilization of busulfan in our conditioning regimen may have the potential to allow AVR-RD-03 to cross the blood-brain barrier, a feature which may yield therapeutic benefit.</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right="680" w:firstLine="546"/>
        <w:spacing w:after="0" w:line="277" w:lineRule="auto"/>
        <w:rPr>
          <w:sz w:val="20"/>
          <w:szCs w:val="20"/>
          <w:color w:val="auto"/>
        </w:rPr>
      </w:pPr>
      <w:r>
        <w:rPr>
          <w:rFonts w:ascii="Arial" w:cs="Arial" w:eastAsia="Arial" w:hAnsi="Arial"/>
          <w:sz w:val="18"/>
          <w:szCs w:val="18"/>
          <w:color w:val="auto"/>
        </w:rPr>
        <w:t>In November 2020 we presented data from a study in which mice with the equivalent of classic infantile-onset Pompe disease were treated with AVR-RD-03. We these data believe support the potential of lentiviral-based gene expression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right="280"/>
        <w:spacing w:after="0" w:line="263" w:lineRule="auto"/>
        <w:rPr>
          <w:sz w:val="20"/>
          <w:szCs w:val="20"/>
          <w:color w:val="auto"/>
        </w:rPr>
      </w:pPr>
      <w:r>
        <w:rPr>
          <w:rFonts w:ascii="Arial" w:cs="Arial" w:eastAsia="Arial" w:hAnsi="Arial"/>
          <w:sz w:val="18"/>
          <w:szCs w:val="18"/>
          <w:color w:val="auto"/>
        </w:rPr>
        <w:t>GAA to prevent some of the symptoms of GAA deficiency. These results also demonstrated the need to further increase the uptake of GAA into muscle cells to treat patients, which is a known challenge for ERTs and leads to the use of large quantities of enzyme to attempt to deliver effective treatment levels.</w:t>
      </w:r>
    </w:p>
    <w:p>
      <w:pPr>
        <w:spacing w:after="0" w:line="184" w:lineRule="exact"/>
        <w:rPr>
          <w:sz w:val="20"/>
          <w:szCs w:val="20"/>
          <w:color w:val="auto"/>
        </w:rPr>
      </w:pPr>
    </w:p>
    <w:p>
      <w:pPr>
        <w:ind w:right="20" w:firstLine="546"/>
        <w:spacing w:after="0" w:line="311" w:lineRule="auto"/>
        <w:rPr>
          <w:sz w:val="20"/>
          <w:szCs w:val="20"/>
          <w:color w:val="auto"/>
        </w:rPr>
      </w:pPr>
      <w:r>
        <w:rPr>
          <w:rFonts w:ascii="Arial" w:cs="Arial" w:eastAsia="Arial" w:hAnsi="Arial"/>
          <w:sz w:val="16"/>
          <w:szCs w:val="16"/>
          <w:color w:val="auto"/>
        </w:rPr>
        <w:t>We believe we can use a GILT tag to address the known challenges of skeletal muscle uptake in patients with Pompe disease. Attachment of a GILT tag to a particular protein can increase the effective uptake of that protein into target tissues. We are designing AVR-RD-03 to use a GILT tag to facilitate GAA uptake into cells and thereby reduce the therapeutically required amount of GAA produced by a patient’s cells following gene therapy treatment.</w:t>
      </w:r>
    </w:p>
    <w:p>
      <w:pPr>
        <w:spacing w:after="0" w:line="149" w:lineRule="exact"/>
        <w:rPr>
          <w:sz w:val="20"/>
          <w:szCs w:val="20"/>
          <w:color w:val="auto"/>
        </w:rPr>
      </w:pPr>
    </w:p>
    <w:p>
      <w:pPr>
        <w:jc w:val="both"/>
        <w:ind w:right="180" w:firstLine="546"/>
        <w:spacing w:after="0" w:line="286" w:lineRule="auto"/>
        <w:rPr>
          <w:sz w:val="20"/>
          <w:szCs w:val="20"/>
          <w:color w:val="auto"/>
        </w:rPr>
      </w:pPr>
      <w:r>
        <w:rPr>
          <w:rFonts w:ascii="Arial" w:cs="Arial" w:eastAsia="Arial" w:hAnsi="Arial"/>
          <w:sz w:val="17"/>
          <w:szCs w:val="17"/>
          <w:color w:val="auto"/>
        </w:rPr>
        <w:t>In mouse models of Pompe, administration of recombinant GAA with the GILT tag demonstrated significant reduction in glycogen in cardiac and skeletal muscles as compared to the administration of recombinant GAA alone. We licensed GILT tag technology from BioMarin and are incorporating a GILT tag into our lentiviral vector with the goal of the patient producing GILT-tagged GAA following treatment with AVR-RD-03.</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GAA Enzyme Production</w:t>
      </w:r>
    </w:p>
    <w:p>
      <w:pPr>
        <w:spacing w:after="0" w:line="225"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Our preclinical study measured the levels of GAA observed in normal mice, mice with the equivalent of infantile-onset Pompe disease, mice treated with AVR-RD-03 modified to not incorporate our proprietary GILT tag, and mice treated with AVR-RD-03 including our GILT tag, in each case measured 16 weeks post-treatment. These data showed significant overexpression of GAA in bone marrow, white blood cells and plasma in mice treated with AVR-RD-03 without our GILT tag as well as AVR-RD-03 incorporating our GILT tag.</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Glycogen Reduction</w:t>
      </w:r>
    </w:p>
    <w:p>
      <w:pPr>
        <w:spacing w:after="0" w:line="117"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Our preclinical study also measured glycogen levels in the heart and brain at four months post-treatment with our GILT-tagged version of AVR-RD-03, which showed a 99% and 100% reduction, respectively, in glycogen levels. In addition, our study measured glycogen levels in various organs of the study mice at eight months post-treatment. The data showed an average of greater than 99% reduction in glycogen levels in the heart, greater than 97% reduction in the diaphragm, greater than 85% reduction in skeletal muscle, greater than 95% reduction in the brain, and greater than 99% reduction in the spinal cord.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Industrializing Our Gene Therapies Through Our Outsourced Manufacture and Supply Network</w:t>
      </w:r>
    </w:p>
    <w:p>
      <w:pPr>
        <w:spacing w:after="0" w:line="117" w:lineRule="exact"/>
        <w:rPr>
          <w:sz w:val="20"/>
          <w:szCs w:val="20"/>
          <w:color w:val="auto"/>
        </w:rPr>
      </w:pPr>
    </w:p>
    <w:p>
      <w:pPr>
        <w:ind w:right="100" w:firstLine="546"/>
        <w:spacing w:after="0" w:line="255" w:lineRule="auto"/>
        <w:rPr>
          <w:sz w:val="20"/>
          <w:szCs w:val="20"/>
          <w:color w:val="auto"/>
        </w:rPr>
      </w:pPr>
      <w:r>
        <w:rPr>
          <w:rFonts w:ascii="Arial" w:cs="Arial" w:eastAsia="Arial" w:hAnsi="Arial"/>
          <w:sz w:val="18"/>
          <w:szCs w:val="18"/>
          <w:color w:val="auto"/>
        </w:rPr>
        <w:t>We are establishing global manufacturing relationships that we believe will provide us with drug product manufacturing capabilities to support all aspects of the development and eventual commercialization of our gene therapies. Our team has leveraged their broad expertise in the manufacturing of gene and cellular therapies to build a global network of CMO partners for the development and manufacture of drug products and outsourced suppliers for the supply of vectors and plasmids. We believe that our third-party CMO partners and suppliers have capacity to accommodate current and future clinical trials and we are continuing to build a global network that we expect will have capacity to generate sufficient quantities to meet our expected commercial needs.</w:t>
      </w:r>
    </w:p>
    <w:p>
      <w:pPr>
        <w:spacing w:after="0" w:line="192" w:lineRule="exact"/>
        <w:rPr>
          <w:sz w:val="20"/>
          <w:szCs w:val="20"/>
          <w:color w:val="auto"/>
        </w:rPr>
      </w:pPr>
    </w:p>
    <w:p>
      <w:pPr>
        <w:ind w:right="140" w:firstLine="546"/>
        <w:spacing w:after="0" w:line="259" w:lineRule="auto"/>
        <w:rPr>
          <w:sz w:val="20"/>
          <w:szCs w:val="20"/>
          <w:color w:val="auto"/>
        </w:rPr>
      </w:pPr>
      <w:r>
        <w:rPr>
          <w:rFonts w:ascii="Arial" w:cs="Arial" w:eastAsia="Arial" w:hAnsi="Arial"/>
          <w:sz w:val="18"/>
          <w:szCs w:val="18"/>
          <w:color w:val="auto"/>
        </w:rPr>
        <w:t>To optimize production of our gene therapies, we have moved our cell processing to an automated, closed system using disposable supplies. We believe this industrialized manufacturing process will enable a repeatable approach through which we can design and manufacture commercially viable lentiviral gene therapies to potentially treat a large variety of genetic disorders. We expect that our automation of the manufacturing processes will further increase our CMO partners’ manufacturing capacity.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Producing a Patient’s Gene Therapy</w:t>
      </w:r>
    </w:p>
    <w:p>
      <w:pPr>
        <w:spacing w:after="0" w:line="117"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We start the process to produce a patient’s gene therapy with the mobilization of a patient’s stem cells from the bone marrow to the blood stream and isolate them using a standard procedure used in stem cell transplants. We then treat these cells with a lentiviral vector to insert the equivalent of a functional copy of the gene that is defective in the target disease in a 48-hour process. We preserve patients’ modified cells at a very low temperature, using cryopreservation to maintain the cellular material in optimal condition until it is thawed prior to being infused into the patient. The cryopreservation allows us to conduct a number of tests to validate the modified cells prior to introducing them into the patient. We believe cryopreservation will also enable us to supply our products globally, as well as significantly increase the convenience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 xml:space="preserve">infusion scheduling for clinicians and patients, compared to fresh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products that may have shelf-lives of only 24 hours.</w:t>
      </w:r>
    </w:p>
    <w:p>
      <w:pPr>
        <w:spacing w:after="0" w:line="225" w:lineRule="exact"/>
        <w:rPr>
          <w:sz w:val="20"/>
          <w:szCs w:val="20"/>
          <w:color w:val="auto"/>
        </w:rPr>
      </w:pPr>
    </w:p>
    <w:p>
      <w:pPr>
        <w:ind w:right="260" w:firstLine="546"/>
        <w:spacing w:after="0" w:line="342" w:lineRule="auto"/>
        <w:rPr>
          <w:sz w:val="20"/>
          <w:szCs w:val="20"/>
          <w:color w:val="auto"/>
        </w:rPr>
      </w:pPr>
      <w:r>
        <w:rPr>
          <w:rFonts w:ascii="Arial" w:cs="Arial" w:eastAsia="Arial" w:hAnsi="Arial"/>
          <w:sz w:val="16"/>
          <w:szCs w:val="16"/>
          <w:color w:val="auto"/>
        </w:rPr>
        <w:t>Prior to infusion of the gene therapy-modified cells into the patient, the patients undergo a conditioning regimen to remove some of the patient’s unmodified cells from the bone marrow to create sufficient space for the modified hematopoietic stem cells to engraft and produce their progeny.</w:t>
      </w:r>
    </w:p>
    <w:p>
      <w:pPr>
        <w:spacing w:after="0" w:line="124"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After the conditioning regimen is complete, the lentivirally-modified stem cells are infused into the patient by intravenous administration in an outpatient setting. After infusion, these cells engraft into the bone marrow, replicate and differentiate into all the various types of blood cells that will distribute throughout the body. These widely distributed cells lead to sustained expression of the desired therapeutic enzyme or other protein. The sustained expression of the functional enzyme is a direct substitute for the protein currently delivered by ERTs, which require periodic infusions.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Barriers to Entry</w:t>
      </w:r>
    </w:p>
    <w:p>
      <w:pPr>
        <w:spacing w:after="0" w:line="121" w:lineRule="exact"/>
        <w:rPr>
          <w:sz w:val="20"/>
          <w:szCs w:val="20"/>
          <w:color w:val="auto"/>
        </w:rPr>
      </w:pPr>
    </w:p>
    <w:p>
      <w:pPr>
        <w:jc w:val="both"/>
        <w:ind w:right="80" w:firstLine="546"/>
        <w:spacing w:after="0" w:line="263" w:lineRule="auto"/>
        <w:rPr>
          <w:sz w:val="20"/>
          <w:szCs w:val="20"/>
          <w:color w:val="auto"/>
        </w:rPr>
      </w:pPr>
      <w:r>
        <w:rPr>
          <w:rFonts w:ascii="Arial" w:cs="Arial" w:eastAsia="Arial" w:hAnsi="Arial"/>
          <w:sz w:val="18"/>
          <w:szCs w:val="18"/>
          <w:color w:val="auto"/>
        </w:rPr>
        <w:t>The proprietary nature of, or protection for, our gene therapy technology, our product candidates, our production methods and supply chain are an important part of our strategy to develop and commercialize novel therapies. To maximize the commercial opportunity for our gene therapies, if approved, we and our partners have been building and continue to build barriers to entry by our competitors, including:</w:t>
      </w:r>
    </w:p>
    <w:p>
      <w:pPr>
        <w:spacing w:after="0" w:line="76" w:lineRule="exact"/>
        <w:rPr>
          <w:sz w:val="20"/>
          <w:szCs w:val="20"/>
          <w:color w:val="auto"/>
        </w:rPr>
      </w:pPr>
    </w:p>
    <w:p>
      <w:pPr>
        <w:ind w:left="960" w:hanging="41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in-license and develop know-how, including data, relating to certain of our product candidates.</w:t>
      </w:r>
    </w:p>
    <w:p>
      <w:pPr>
        <w:spacing w:after="0" w:line="144" w:lineRule="exact"/>
        <w:rPr>
          <w:rFonts w:ascii="Arial" w:cs="Arial" w:eastAsia="Arial" w:hAnsi="Arial"/>
          <w:sz w:val="18"/>
          <w:szCs w:val="18"/>
          <w:color w:val="auto"/>
        </w:rPr>
      </w:pPr>
    </w:p>
    <w:p>
      <w:pPr>
        <w:ind w:left="960" w:right="20" w:hanging="412"/>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rely on trade secret protection to protect aspects of our business that are not amenable to, or that we do not consider appropriate for, patent protection.</w:t>
      </w:r>
    </w:p>
    <w:p>
      <w:pPr>
        <w:spacing w:after="0" w:line="62" w:lineRule="exact"/>
        <w:rPr>
          <w:rFonts w:ascii="Arial" w:cs="Arial" w:eastAsia="Arial" w:hAnsi="Arial"/>
          <w:sz w:val="18"/>
          <w:szCs w:val="18"/>
          <w:color w:val="auto"/>
        </w:rPr>
      </w:pPr>
    </w:p>
    <w:p>
      <w:pPr>
        <w:ind w:left="960" w:right="20" w:hanging="412"/>
        <w:spacing w:after="0" w:line="263"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management team has significant experience in cell processing and commercial-scale cellular therapy manufacturing. Leveraging this experience, we are building our global network of suppliers and CMO partners which combines their expertise in vector manufacturing with a closed, automated manufacturing system, all utilizing cGMP.</w:t>
      </w:r>
    </w:p>
    <w:p>
      <w:pPr>
        <w:spacing w:after="0" w:line="75" w:lineRule="exact"/>
        <w:rPr>
          <w:rFonts w:ascii="Arial" w:cs="Arial" w:eastAsia="Arial" w:hAnsi="Arial"/>
          <w:sz w:val="18"/>
          <w:szCs w:val="18"/>
          <w:color w:val="auto"/>
        </w:rPr>
      </w:pPr>
    </w:p>
    <w:p>
      <w:pPr>
        <w:ind w:left="960" w:right="100" w:hanging="412"/>
        <w:spacing w:after="0" w:line="31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gene therapies are designed to potentially provide a curative benefit. If our gene therapies are approved before any other potentially curative treatments, we believe the benefits of our approach and the resulting first mover advantage may provide meaningful disincentive for companies seeking to develop potentially curative therapies that may compete with our own. See “—Competition.”</w:t>
      </w:r>
    </w:p>
    <w:p>
      <w:pPr>
        <w:spacing w:after="0" w:line="40" w:lineRule="exact"/>
        <w:rPr>
          <w:rFonts w:ascii="Arial" w:cs="Arial" w:eastAsia="Arial" w:hAnsi="Arial"/>
          <w:sz w:val="16"/>
          <w:szCs w:val="16"/>
          <w:color w:val="auto"/>
        </w:rPr>
      </w:pPr>
    </w:p>
    <w:p>
      <w:pPr>
        <w:ind w:left="960" w:right="140" w:hanging="412"/>
        <w:spacing w:after="0" w:line="296"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are developing therapies to treat rare diseases and expect to pursue orphan-drug designation in the United States and similar protection outside of the United States. To date, the FDA and the European Commission have each granted orphan drug designation to AVR-RD-01 for the treatment of Fabry disease, AVR-RD-04 for the treatment of cystinosis, and AVR-RD-02 for the treatment of Gaucher disease type 1. These and other regulatory exclusivities, if granted or applicable, can prevent competitors, during the exclusivity period, from obtaining regulatory approval of the same drug or biological product for the same indication. See “—Government Regulation.”</w:t>
      </w:r>
    </w:p>
    <w:p>
      <w:pPr>
        <w:spacing w:after="0" w:line="53" w:lineRule="exact"/>
        <w:rPr>
          <w:rFonts w:ascii="Arial" w:cs="Arial" w:eastAsia="Arial" w:hAnsi="Arial"/>
          <w:sz w:val="16"/>
          <w:szCs w:val="16"/>
          <w:color w:val="auto"/>
        </w:rPr>
      </w:pPr>
    </w:p>
    <w:p>
      <w:pPr>
        <w:ind w:left="960" w:hanging="412"/>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currently in-license, and we expect to file our own, patents and patent applications relating to certain of our product candidates.</w:t>
      </w:r>
    </w:p>
    <w:p>
      <w:pPr>
        <w:spacing w:after="0" w:line="264" w:lineRule="exact"/>
        <w:rPr>
          <w:sz w:val="20"/>
          <w:szCs w:val="20"/>
          <w:color w:val="auto"/>
        </w:rPr>
      </w:pPr>
    </w:p>
    <w:p>
      <w:pPr>
        <w:ind w:right="60" w:firstLine="546"/>
        <w:spacing w:after="0" w:line="270" w:lineRule="auto"/>
        <w:rPr>
          <w:sz w:val="20"/>
          <w:szCs w:val="20"/>
          <w:color w:val="auto"/>
        </w:rPr>
      </w:pPr>
      <w:r>
        <w:rPr>
          <w:rFonts w:ascii="Arial" w:cs="Arial" w:eastAsia="Arial" w:hAnsi="Arial"/>
          <w:sz w:val="17"/>
          <w:szCs w:val="17"/>
          <w:color w:val="auto"/>
        </w:rPr>
        <w:t>We have in-licensed patents and patent applications from BioMarin Pharmaceutical Inc., GenStem Therapeutics, Inc. and The University of Manchester directed to compositions and methods related to the manufacture and use of certain of our gene therapies. In addition, we have in-licensed certain intellectual property rights and know-how from the University Health Network and affiliates of Lund University. For example, we have in-licensed know-how and data related to AVR-RD-01, including certain information about the vector and its use, from University Health Network, and we have in-licensed know-how and data related to AVR-RD-02, including certain information about the vector and its use, from certain academic scientists affiliated with Lund University. Each of our licenses are limited to particular fields, such as Fabry disease, Gaucher disease type 1, Pompe disease, cystinosis, or Hunter syndrome, and are subject to certain retained rights. We do not control the prosecution and maintenance of all of our in-licensed patents and patent applications, and our rights to enforce the patents are limited in certain ways. For additional detail regarding the risks associated with our license agreements see “Risk Factors—Risks Related to Intellectual Property.”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0" w:name="page31"/>
    <w:bookmarkEnd w:id="30"/>
    <w:p>
      <w:pPr>
        <w:ind w:left="560"/>
        <w:spacing w:after="0"/>
        <w:rPr>
          <w:sz w:val="20"/>
          <w:szCs w:val="20"/>
          <w:color w:val="auto"/>
        </w:rPr>
      </w:pPr>
      <w:r>
        <w:rPr>
          <w:rFonts w:ascii="Arial" w:cs="Arial" w:eastAsia="Arial" w:hAnsi="Arial"/>
          <w:sz w:val="18"/>
          <w:szCs w:val="18"/>
          <w:color w:val="auto"/>
        </w:rPr>
        <w:t>As of March 1, 2021, our in-licensed patent portfolio relating to certain of our gene therapies included the following:</w:t>
      </w:r>
    </w:p>
    <w:p>
      <w:pPr>
        <w:spacing w:after="0" w:line="117" w:lineRule="exact"/>
        <w:rPr>
          <w:sz w:val="20"/>
          <w:szCs w:val="20"/>
          <w:color w:val="auto"/>
        </w:rPr>
      </w:pPr>
    </w:p>
    <w:p>
      <w:pPr>
        <w:ind w:left="960" w:right="320" w:hanging="412"/>
        <w:spacing w:after="0" w:line="279"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AVR-RD-03 (Pompe program)</w:t>
      </w:r>
      <w:r>
        <w:rPr>
          <w:rFonts w:ascii="Arial" w:cs="Arial" w:eastAsia="Arial" w:hAnsi="Arial"/>
          <w:sz w:val="17"/>
          <w:szCs w:val="17"/>
          <w:color w:val="auto"/>
        </w:rPr>
        <w:t>: two U.S. patents, projected to expire in 2022 and 2023, and two U.S. patent applications, which if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projected to expire in 2022 and 2029, as well as corresponding patents and patent applications in certain foreign jurisdictions, as they pertain to compositions and methods for promoting lysosomal uptake of acid alpha-glucosidase and the treatment of Pompe disease. These patents and patent applications are licensed to us by BioMarin and relate to the GILT tag.</w:t>
      </w:r>
    </w:p>
    <w:p>
      <w:pPr>
        <w:spacing w:after="0" w:line="63" w:lineRule="exact"/>
        <w:rPr>
          <w:rFonts w:ascii="Arial" w:cs="Arial" w:eastAsia="Arial" w:hAnsi="Arial"/>
          <w:sz w:val="17"/>
          <w:szCs w:val="17"/>
          <w:color w:val="auto"/>
        </w:rPr>
      </w:pPr>
    </w:p>
    <w:p>
      <w:pPr>
        <w:ind w:left="960" w:right="140" w:hanging="412"/>
        <w:spacing w:after="0" w:line="259"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AVR-RD-04 (cystinosis program)</w:t>
      </w:r>
      <w:r>
        <w:rPr>
          <w:rFonts w:ascii="Arial" w:cs="Arial" w:eastAsia="Arial" w:hAnsi="Arial"/>
          <w:sz w:val="18"/>
          <w:szCs w:val="18"/>
          <w:color w:val="auto"/>
        </w:rPr>
        <w:t>: one U.S. patent application, which, if granted, would be projected to expire in 2038,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patents and patent applications in certain foreign jurisdictions, containing claims directed to hematopoietic stem cells expressing cystinosin and methods of using the same for the treatment of cystinosis. These patent applications are licensed to us by GenStem Therapeutics, and GenStem obtained its rights from the University of California, San Diego.</w:t>
      </w:r>
    </w:p>
    <w:p>
      <w:pPr>
        <w:spacing w:after="0" w:line="78" w:lineRule="exact"/>
        <w:rPr>
          <w:rFonts w:ascii="Arial" w:cs="Arial" w:eastAsia="Arial" w:hAnsi="Arial"/>
          <w:sz w:val="18"/>
          <w:szCs w:val="18"/>
          <w:color w:val="auto"/>
        </w:rPr>
      </w:pPr>
    </w:p>
    <w:p>
      <w:pPr>
        <w:ind w:left="960" w:right="120" w:hanging="412"/>
        <w:spacing w:after="0" w:line="259"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AVR-RD-05 (Hunter program)</w:t>
      </w:r>
      <w:r>
        <w:rPr>
          <w:rFonts w:ascii="Arial" w:cs="Arial" w:eastAsia="Arial" w:hAnsi="Arial"/>
          <w:sz w:val="18"/>
          <w:szCs w:val="18"/>
          <w:color w:val="auto"/>
        </w:rPr>
        <w:t>: one U.S. patent application, which, if granted, would be projected to expire in 2038, as well as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patents and patent applications in certain foreign jurisdictions, containing claims directed to gene therapy vectors encoding iduronate-2-sulfatase and methods of using the same for the treatment of Hunter syndrome. These patent applications are licensed to us by the University of Manchester.</w:t>
      </w:r>
    </w:p>
    <w:p>
      <w:pPr>
        <w:spacing w:after="0" w:line="187"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The term of any given patent depends upon the legal term of patents in the countries in which they are obtained. In most countries in which we file, the patent term is 20 years from the date of filing the application, subject to the timely payment of maintenance fees, among other considerations. In the United States, a patent’s term may be lengthened by patent term adjustment, which compensates a patentee for administrative delays by the U.S. Patent and Trademark Office, or USPTO, in granting a patent, or may be shortened if a patent is terminally disclaimed over an earlier-filed commonly owned patent. In addition, in certain instances, a patent term can be extended to recapture a portion of the term effectively lost as a result of FDA regulatory review period. However, the restoration period cannot be longer than five years and the total patent term including the restoration period must not exceed 14 years following FDA approval. In certain foreign jurisdictions similar extensions as compensation for regulatory delays are also available. The actual protection afforded by a patent varies on a claim by claim and country by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 Currently, we do not own or license patents or patent applications related to our AVR-RD-01, AVR-RD-02 or AVR-RD-06 product candidates. We rely, in some circumstances, on trade secrets and unpatented know-how that is either owned by or licensed to us to protect our technology. We seek to protect our proprietary technology and processes, in part, by entering into confidentiality agreements with our employees, consultants, scientific advisors and contractors.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License Agreement with The University of Manchester</w:t>
      </w:r>
    </w:p>
    <w:p>
      <w:pPr>
        <w:spacing w:after="0" w:line="117" w:lineRule="exact"/>
        <w:rPr>
          <w:sz w:val="20"/>
          <w:szCs w:val="20"/>
          <w:color w:val="auto"/>
        </w:rPr>
      </w:pPr>
    </w:p>
    <w:p>
      <w:pPr>
        <w:ind w:right="320" w:firstLine="546"/>
        <w:spacing w:after="0" w:line="301" w:lineRule="auto"/>
        <w:rPr>
          <w:sz w:val="20"/>
          <w:szCs w:val="20"/>
          <w:color w:val="auto"/>
        </w:rPr>
      </w:pPr>
      <w:r>
        <w:rPr>
          <w:rFonts w:ascii="Arial" w:cs="Arial" w:eastAsia="Arial" w:hAnsi="Arial"/>
          <w:sz w:val="16"/>
          <w:szCs w:val="16"/>
          <w:color w:val="auto"/>
        </w:rPr>
        <w:t xml:space="preserve">In September 2020, we entered into an agreement, or the MPSII License Agreement, with The University of Manchester, England, or UoM, whereby UoM granted us an exclusive worldwide license under certain patent and other intellectual property rights, subject to certain retained rights, to develop, commercialize and sell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 gene therapy for use in the treatment of Hunter syndrome, or mucopolysaccharidosis type II. As consideration for the MPSII License Agreement, we agreed to pay UoM an upfront, one-time fee of $8.0 million.</w:t>
      </w:r>
    </w:p>
    <w:p>
      <w:pPr>
        <w:spacing w:after="0" w:line="157" w:lineRule="exact"/>
        <w:rPr>
          <w:sz w:val="20"/>
          <w:szCs w:val="20"/>
          <w:color w:val="auto"/>
        </w:rPr>
      </w:pPr>
    </w:p>
    <w:p>
      <w:pPr>
        <w:ind w:right="140" w:firstLine="546"/>
        <w:spacing w:after="0" w:line="273" w:lineRule="auto"/>
        <w:rPr>
          <w:sz w:val="20"/>
          <w:szCs w:val="20"/>
          <w:color w:val="auto"/>
        </w:rPr>
      </w:pPr>
      <w:r>
        <w:rPr>
          <w:rFonts w:ascii="Arial" w:cs="Arial" w:eastAsia="Arial" w:hAnsi="Arial"/>
          <w:sz w:val="17"/>
          <w:szCs w:val="17"/>
          <w:color w:val="auto"/>
        </w:rPr>
        <w:t>As part of the agreement, we are obligated to make milestone payments of up to an aggregate of $80.0 million upon the achievement of specified development and regulatory milestones, to pay royalties, on a product-by-product and country-by-country basis, of a mid-single digit percentage based on net sales of products licensed under the agreement and to pay a low double-digit percentage of any sublicense fees received by us. The next anticipated payment milestones under the MPSII License Agreement include $2.0 million, which would become due following the date of regulatory approval of the clinical trial application for the investigator-sponsored Phase 1/2 clinical trial sponsored by UoM, and $4.0 million, upon the dosing of the first patient in the investigator-sponsored Phase 1/2 clinical trial sponsored by UoM.</w:t>
      </w:r>
    </w:p>
    <w:p>
      <w:pPr>
        <w:spacing w:after="0" w:line="178" w:lineRule="exact"/>
        <w:rPr>
          <w:sz w:val="20"/>
          <w:szCs w:val="20"/>
          <w:color w:val="auto"/>
        </w:rPr>
      </w:pPr>
    </w:p>
    <w:p>
      <w:pPr>
        <w:ind w:right="140" w:firstLine="546"/>
        <w:spacing w:after="0" w:line="257" w:lineRule="auto"/>
        <w:rPr>
          <w:sz w:val="20"/>
          <w:szCs w:val="20"/>
          <w:color w:val="auto"/>
        </w:rPr>
      </w:pPr>
      <w:r>
        <w:rPr>
          <w:rFonts w:ascii="Arial" w:cs="Arial" w:eastAsia="Arial" w:hAnsi="Arial"/>
          <w:sz w:val="18"/>
          <w:szCs w:val="18"/>
          <w:color w:val="auto"/>
        </w:rPr>
        <w:t>Unless terminated earlier, the agreement expires upon the later of 15 years from the effective date or the expiration of the last valid claim of the licensed patents, subject to certain surviving rights and obligations. We and UoM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us or its affiliates or sublicensees.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180" w:firstLine="546"/>
        <w:spacing w:after="0" w:line="311" w:lineRule="auto"/>
        <w:rPr>
          <w:sz w:val="20"/>
          <w:szCs w:val="20"/>
          <w:color w:val="auto"/>
        </w:rPr>
      </w:pPr>
      <w:r>
        <w:rPr>
          <w:rFonts w:ascii="Arial" w:cs="Arial" w:eastAsia="Arial" w:hAnsi="Arial"/>
          <w:sz w:val="16"/>
          <w:szCs w:val="16"/>
          <w:color w:val="auto"/>
        </w:rPr>
        <w:t>Concurrently with the MPSII License Agreement, we entered into a collaborative research funding agreement with UoM, or the CRFA. Under the CRFA, we have agreed to fund the budgeted costs of an investigator-sponsored Phase 1/2 clinical trial to be sponsored by UoM in connection with the development activities under the MPSII License Agreement, which are currently estimated to equal approximately £9.1 million in the aggregate.</w:t>
      </w: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License Agreement with University Health Network</w:t>
      </w:r>
    </w:p>
    <w:p>
      <w:pPr>
        <w:spacing w:after="0" w:line="117"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In November 2016, we entered into a license agreement with University Health Network, or UHN, pursuant to which UHN granted us an exclusive worldwide license under certain intellectual property rights and a non-exclusive worldwide license under certain know-how, including certain rights to data, in each case subject to certain retained rights, to develop, commercialize and sell products for use in the treatment of Fabry disease. Intellectual property licensed to us under this agreement relates to our Fabry program. In addition, for three years following the execution of the agreement, UHN granted us an exclusive option to obtain an exclusive license under certain improvements to the licensed intellectual property rights as well as an exclusive option to negotiate a license under certain other improvements. Under the terms of the agreement, we are required to meet certain performance milestones within specified timeframes. UHN may terminate the agreement if we fail to meet these performance milestones despite using commercially reasonable efforts and we are unable to reach agreement with UHN on revised timeframes.</w:t>
      </w:r>
    </w:p>
    <w:p>
      <w:pPr>
        <w:spacing w:after="0" w:line="178" w:lineRule="exact"/>
        <w:rPr>
          <w:sz w:val="20"/>
          <w:szCs w:val="20"/>
          <w:color w:val="auto"/>
        </w:rPr>
      </w:pPr>
    </w:p>
    <w:p>
      <w:pPr>
        <w:ind w:right="60" w:firstLine="546"/>
        <w:spacing w:after="0" w:line="271" w:lineRule="auto"/>
        <w:rPr>
          <w:sz w:val="20"/>
          <w:szCs w:val="20"/>
          <w:color w:val="auto"/>
        </w:rPr>
      </w:pPr>
      <w:r>
        <w:rPr>
          <w:rFonts w:ascii="Arial" w:cs="Arial" w:eastAsia="Arial" w:hAnsi="Arial"/>
          <w:sz w:val="17"/>
          <w:szCs w:val="17"/>
          <w:color w:val="auto"/>
        </w:rPr>
        <w:t>As consideration for the licenses, we paid to UHN a one-time upfront fee in the amount of C$75,000 and are obligated to pay an additional annual fee until the first sale of a licensed product in certain markets. We are also required to make payments to UHN in connection with the achievement of certain development and regulatory milestones, in an aggregate amount of C$2.45 million, as well as royalties on a country-by-country basis of a low to mid-single digit percentages on annual sales of licensed products and a lower single digit royalty in certain circumstances. Additionally, we will pay a low double-digit percentage of all sublicensing revenue. Our royalty obligation expires on a licensed product-by-licensed product and country-by-country basis upon the latest to occur of the expiration or termination of the last valid claim under the licensed patent rights in such country (if and when any such patent rights come into existence under the license agreement in the future), the tenth anniversary of the first commercial sale of such licensed product in such country and the expiration of any applicable regulatory exclusivity in such country.</w:t>
      </w:r>
    </w:p>
    <w:p>
      <w:pPr>
        <w:spacing w:after="0" w:line="178" w:lineRule="exact"/>
        <w:rPr>
          <w:sz w:val="20"/>
          <w:szCs w:val="20"/>
          <w:color w:val="auto"/>
        </w:rPr>
      </w:pPr>
    </w:p>
    <w:p>
      <w:pPr>
        <w:ind w:right="140" w:firstLine="546"/>
        <w:spacing w:after="0" w:line="263" w:lineRule="auto"/>
        <w:rPr>
          <w:sz w:val="20"/>
          <w:szCs w:val="20"/>
          <w:color w:val="auto"/>
        </w:rPr>
      </w:pPr>
      <w:r>
        <w:rPr>
          <w:rFonts w:ascii="Arial" w:cs="Arial" w:eastAsia="Arial" w:hAnsi="Arial"/>
          <w:sz w:val="18"/>
          <w:szCs w:val="18"/>
          <w:color w:val="auto"/>
        </w:rPr>
        <w:t>In addition, under this agreement we made a philanthropic commitment to donate funds to organizations for the benefit of the Canadian Fabry community in an amount equal to a low double-digit percentage of our royalty payments and regulatory milestone payments, up to a maximum amount of C$0.5 million in any calendar year.</w:t>
      </w:r>
    </w:p>
    <w:p>
      <w:pPr>
        <w:spacing w:after="0" w:line="184"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Unless terminated earlier, this exclusive license agreement with UHN will expire upon the expiration of our royalty obligation for all licensed products. Either we or UHN may terminate the license agreement if the other party commits a material breach and fails to cure such breach within a certain period of time. UHN may terminate this agreement if we enter into bankruptcy or insolvency. We may terminate this agreement for any reason upon notice to UHN.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License Agreement with Lund University Rights Holders</w:t>
      </w:r>
    </w:p>
    <w:p>
      <w:pPr>
        <w:spacing w:after="0" w:line="117"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color w:val="auto"/>
        </w:rPr>
        <w:t>In January 2017, we entered into an exclusive license agreement with Prof. Stefan Karlsson and Dr. Maria Dahl, affiliates of Lund University, pursuant to which Prof. Karlsson and Dr. Dahl, and certain other relevant rights holders that may have an interest in intellectual property generated under a research project we are funding with Lund University, granted to us an exclusive worldwide license, subject to certain retained rights, under certain intellectual property rights to develop, commercialize and sell products in any and all uses relevant to Gaucher disease. Intellectual property licensed to us under this agreement relates to our Gaucher program.</w:t>
      </w:r>
    </w:p>
    <w:p>
      <w:pPr>
        <w:spacing w:after="0" w:line="188"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As consideration for the license, we are required to make payments in connection with the achievement of certain milestones up to an aggregate of $0.55 million.</w:t>
      </w:r>
    </w:p>
    <w:p>
      <w:pPr>
        <w:spacing w:after="0" w:line="170"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Our license agreement with the rights holders expires on the latest of (i) the twentieth anniversary of the end of a certain research project we are funding pursuant to an agreement with Lund University, (ii) the expiration of the term of any patent filed on the licensed rights that covers a licensed product, (iii) the expiration of any applicable marketing exclusivity right and (iv) such time that neither we nor any of our sublicensees or partners or contractors are commercializing a licensed product. Either we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ind w:left="560"/>
        <w:spacing w:after="0"/>
        <w:rPr>
          <w:sz w:val="20"/>
          <w:szCs w:val="20"/>
          <w:color w:val="auto"/>
        </w:rPr>
      </w:pPr>
      <w:r>
        <w:rPr>
          <w:rFonts w:ascii="Arial" w:cs="Arial" w:eastAsia="Arial" w:hAnsi="Arial"/>
          <w:sz w:val="18"/>
          <w:szCs w:val="18"/>
          <w:b w:val="1"/>
          <w:bCs w:val="1"/>
          <w:i w:val="1"/>
          <w:iCs w:val="1"/>
          <w:color w:val="auto"/>
        </w:rPr>
        <w:t>License Agreement with BioMarin Pharmaceutical Inc.</w:t>
      </w:r>
    </w:p>
    <w:p>
      <w:pPr>
        <w:spacing w:after="0" w:line="117"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In August 2017, we entered into a license agreement with BioMarin Pharmaceutical Inc., or BioMarin, pursuant to which BioMarin granted us an exclusive worldwide license under certain intellectual property rights related to GILT tags owned or controlled by BioMarin to develop, commercialize and sell retroviridae-based gene therapy products for use in the treatment of Pompe disease. This agreement was amended in February 2018 and again in January 2020 to, among things, provide that BioMarin would supply us with certain materials related to the GILT tags technology. Under the terms of the agreement, we must use commercially reasonable efforts to develop and commercialize one or more licensed products in the United States and certain European countries. In addition, we are required to initiate an IND-enabling pharmacology/toxicology study of a licensed product within a specified period of time.</w:t>
      </w:r>
    </w:p>
    <w:p>
      <w:pPr>
        <w:spacing w:after="0" w:line="195"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As consideration for the license, we paid an initial license fee in the amount of $0.5 million and issued 233,765 shares of our Series B preferred stock to BioMarin at the time of our Series B financing. We are also obligated to make payments to BioMarin upon achievement of certain milestones up to an aggregate of $13.0 million and pay to BioMarin a low single digit royalty percentage on net sales of licensed products covered by patent rights in a relevant country. Our royalty obligation expires on a licensed product-by-licensed product and country-by-country basis upon the latest to occur of the expiration or termination of the last valid claim under the licensed patent rights in such country, which is currently projected to occur in 2029, the tenth anniversary of the first commercial sale of such licensed product in such country and the expiration of any applicable regulatory exclusivity in such country.</w:t>
      </w:r>
    </w:p>
    <w:p>
      <w:pPr>
        <w:spacing w:after="0" w:line="195"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Unless terminated earlier, our license agreement with BioMarin will expire upon the expiration of our royalty obligation for all licensed products throughout the world. Either we or BioMarin may terminate the license agreement if the other party commits a material breach and fails to cure such breach within a certain period of time. BioMarin may also terminate the agreement in the event of any challenge or opposition to the licensed patent rights or related actions brought by us or our affiliates or sublicensees, or if we, our affiliates or sublicensees knowingly assist a third party in challenging or otherwise opposing the licensed patent rights, except as required under a court order or subpoena. In addition, BioMarin may terminate the agreement upon our bankruptcy or insolvency. We may terminate the agreement for any reason upon notice to BioMarin.</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License Agreement with GenStem Therapeutics, Inc.</w:t>
      </w:r>
    </w:p>
    <w:p>
      <w:pPr>
        <w:spacing w:after="0" w:line="117"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In October 2017, we entered into a license agreement with GenStem Therapeutics, Inc., or GenStem, pursuant to which GenStem granted us an exclusive worldwide license, subject to certain retained rights, under certain intellectual property rights owned or controlled by GenStem related to our cystinosis program, including certain rights licensed to GenStem from the University of California, San Diego, to develop, commercialize and sell products for use in the treatment of cystinosis. Under the terms of the agreement, we must use commercially reasonable efforts to develop and commercialize one or more licensed products in the United States and in at least one country from other specified markets. We also agreed to comply with certain access requirements consistent with the California Institute for Regenerative Medicine regulations and to manufacture certain licensed products substantially in the United States.</w:t>
      </w:r>
    </w:p>
    <w:p>
      <w:pPr>
        <w:spacing w:after="0" w:line="195" w:lineRule="exact"/>
        <w:rPr>
          <w:sz w:val="20"/>
          <w:szCs w:val="20"/>
          <w:color w:val="auto"/>
        </w:rPr>
      </w:pPr>
    </w:p>
    <w:p>
      <w:pPr>
        <w:ind w:right="60" w:firstLine="546"/>
        <w:spacing w:after="0" w:line="291" w:lineRule="auto"/>
        <w:rPr>
          <w:sz w:val="20"/>
          <w:szCs w:val="20"/>
          <w:color w:val="auto"/>
        </w:rPr>
      </w:pPr>
      <w:r>
        <w:rPr>
          <w:rFonts w:ascii="Arial" w:cs="Arial" w:eastAsia="Arial" w:hAnsi="Arial"/>
          <w:sz w:val="16"/>
          <w:szCs w:val="16"/>
          <w:color w:val="auto"/>
        </w:rPr>
        <w:t>As consideration for the license, we paid an initial license fee in the amount of $1.0 million and are required to make payments upon completion of certain development milestones up to an aggregate of $16.0 million. For example, in November 2019 we made a $2.0 million payment in connection with the dosing of the first patient in the investigator-sponsored Phase 1/2 clinical trial of AVR-RD-04 in cystinosis in the United States. Additionally, we will pay to GenStem a tiered mid to high-single digit royalty percentage on annual net sales of licensed products as well as a low double-digit percentage of sublicense income received from certain third party sublicensees. Our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 is currently projected to occur in 2038, whichever is later.</w:t>
      </w:r>
    </w:p>
    <w:p>
      <w:pPr>
        <w:spacing w:after="0" w:line="166" w:lineRule="exact"/>
        <w:rPr>
          <w:sz w:val="20"/>
          <w:szCs w:val="20"/>
          <w:color w:val="auto"/>
        </w:rPr>
      </w:pPr>
    </w:p>
    <w:p>
      <w:pPr>
        <w:jc w:val="both"/>
        <w:ind w:right="40" w:firstLine="546"/>
        <w:spacing w:after="0" w:line="286" w:lineRule="auto"/>
        <w:rPr>
          <w:sz w:val="20"/>
          <w:szCs w:val="20"/>
          <w:color w:val="auto"/>
        </w:rPr>
      </w:pPr>
      <w:r>
        <w:rPr>
          <w:rFonts w:ascii="Arial" w:cs="Arial" w:eastAsia="Arial" w:hAnsi="Arial"/>
          <w:sz w:val="17"/>
          <w:szCs w:val="17"/>
          <w:color w:val="auto"/>
        </w:rPr>
        <w:t>Unless terminated earlier, our license agreement with GenStem will terminate upon the expiration of our royalty obligation for all licensed products throughout the world. Either we or GenStem may terminate the license agreement if the other party commits a material breach and fails to cure such breach within a certain period of time. In addition, we may terminate the agreement for any reason upon notice to GenStem.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100" w:firstLine="546"/>
        <w:spacing w:after="0" w:line="277" w:lineRule="auto"/>
        <w:rPr>
          <w:sz w:val="20"/>
          <w:szCs w:val="20"/>
          <w:color w:val="auto"/>
        </w:rPr>
      </w:pPr>
      <w:r>
        <w:rPr>
          <w:rFonts w:ascii="Arial" w:cs="Arial" w:eastAsia="Arial" w:hAnsi="Arial"/>
          <w:sz w:val="18"/>
          <w:szCs w:val="18"/>
          <w:color w:val="auto"/>
        </w:rPr>
        <w:t>Our industry is highly competitive and subject to rapid and significant technological change. Our potential competitors include larger pharmaceutical, specialty pharmaceutical and biotechnology companies, as well as academic institutions,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ind w:right="20"/>
        <w:spacing w:after="0" w:line="277" w:lineRule="auto"/>
        <w:rPr>
          <w:sz w:val="20"/>
          <w:szCs w:val="20"/>
          <w:color w:val="auto"/>
        </w:rPr>
      </w:pPr>
      <w:r>
        <w:rPr>
          <w:rFonts w:ascii="Arial" w:cs="Arial" w:eastAsia="Arial" w:hAnsi="Arial"/>
          <w:sz w:val="18"/>
          <w:szCs w:val="18"/>
          <w:color w:val="auto"/>
        </w:rPr>
        <w:t>government agencies and private and public research institutions. Key competitive factors affecting the commercial success of our gene therapies are likely to be efficacy, safety and tolerability profile, reliability, convenience, price and reimbursement.</w:t>
      </w:r>
    </w:p>
    <w:p>
      <w:pPr>
        <w:spacing w:after="0" w:line="170"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color w:val="auto"/>
        </w:rPr>
        <w:t>The market for treatment of lysosomal disorders is especially large and competitive. The gene therapies we are currently developing, if approved, will face competition.</w:t>
      </w:r>
    </w:p>
    <w:p>
      <w:pPr>
        <w:spacing w:after="0" w:line="170" w:lineRule="exact"/>
        <w:rPr>
          <w:sz w:val="20"/>
          <w:szCs w:val="20"/>
          <w:color w:val="auto"/>
        </w:rPr>
      </w:pPr>
    </w:p>
    <w:p>
      <w:pPr>
        <w:ind w:right="60" w:firstLine="546"/>
        <w:spacing w:after="0" w:line="269"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 number of our competitors. Accordingly, our competitors may be more successful than we may be in obtaining FDA approval for drugs and achieving widespread market acceptance. Our competitors’ products may be more effective, or more effectively marketed and sold, than any product we may commercialize and may render our gene therapies obsolete or non-competitive before we can recover the expenses of developing and commercializing any of our gene therapies. Our competitors may also obtain FDA or other regulatory approval for their products more rapidly than we may obtain approval for ours. We anticipate that we will face intense and increasing competition as new drugs enter the market and advanced technologies become available. Finally, the development of new treatment methods for the diseases we are targeting could render our gene therapies non-competitive or obsolete. See “Risk Factors—Risks related to the discovery and development of our product candidates—We face significant competition and our competitors may achieve regulatory approval before us or develop therapies that are more advanced or effective than ours, which may adversely affect our ability to successfully market or commercialize any of our product candidates,” and elsewhere in this Annual Report on Form 10-K for more information regarding competitors and competitive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00" w:firstLine="546"/>
        <w:spacing w:after="0" w:line="271" w:lineRule="auto"/>
        <w:rPr>
          <w:sz w:val="20"/>
          <w:szCs w:val="20"/>
          <w:color w:val="auto"/>
        </w:rPr>
      </w:pPr>
      <w:r>
        <w:rPr>
          <w:rFonts w:ascii="Arial" w:cs="Arial" w:eastAsia="Arial" w:hAnsi="Arial"/>
          <w:sz w:val="17"/>
          <w:szCs w:val="17"/>
          <w:color w:val="auto"/>
        </w:rPr>
        <w:t>In the United States, biological products, including gene therapy products, are subject to regulation under the Federal Food, Drug, and Cosmetic Act, or FD&amp;C Act, and the Public Health Service Act, or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Each clinical study protocol for a gene therapy product must be reviewed by the FDA and, in some instances, the National Institute of Health, or NIH, through its Recombinant DNA Advisory Committee, or RAC.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78" w:lineRule="exact"/>
        <w:rPr>
          <w:sz w:val="20"/>
          <w:szCs w:val="20"/>
          <w:color w:val="auto"/>
        </w:rPr>
      </w:pPr>
    </w:p>
    <w:p>
      <w:pPr>
        <w:ind w:right="160" w:firstLine="546"/>
        <w:spacing w:after="0" w:line="273" w:lineRule="auto"/>
        <w:rPr>
          <w:sz w:val="20"/>
          <w:szCs w:val="20"/>
          <w:color w:val="auto"/>
        </w:rPr>
      </w:pPr>
      <w:r>
        <w:rPr>
          <w:rFonts w:ascii="Arial" w:cs="Arial" w:eastAsia="Arial" w:hAnsi="Arial"/>
          <w:sz w:val="17"/>
          <w:szCs w:val="17"/>
          <w:color w:val="auto"/>
        </w:rPr>
        <w:t>Within the FDA, the Center for Biologics Evaluation and Research, or CBER, regulates gene therapy products. The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potency testing, and chemistry, manufacturing and control information in INDs for gene therapies.</w:t>
      </w:r>
    </w:p>
    <w:p>
      <w:pPr>
        <w:spacing w:after="0" w:line="178" w:lineRule="exact"/>
        <w:rPr>
          <w:sz w:val="20"/>
          <w:szCs w:val="20"/>
          <w:color w:val="auto"/>
        </w:rPr>
      </w:pPr>
    </w:p>
    <w:p>
      <w:pPr>
        <w:ind w:right="80" w:firstLine="546"/>
        <w:spacing w:after="0" w:line="273" w:lineRule="auto"/>
        <w:rPr>
          <w:sz w:val="20"/>
          <w:szCs w:val="20"/>
          <w:color w:val="auto"/>
        </w:rPr>
      </w:pPr>
      <w:r>
        <w:rPr>
          <w:rFonts w:ascii="Arial" w:cs="Arial" w:eastAsia="Arial" w:hAnsi="Arial"/>
          <w:sz w:val="17"/>
          <w:szCs w:val="17"/>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Biological Products Development Process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117" w:lineRule="exact"/>
        <w:rPr>
          <w:sz w:val="20"/>
          <w:szCs w:val="20"/>
          <w:color w:val="auto"/>
        </w:rPr>
      </w:pPr>
    </w:p>
    <w:p>
      <w:pPr>
        <w:ind w:left="960" w:hanging="412"/>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left="960" w:hanging="41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studies may begin;</w:t>
      </w:r>
    </w:p>
    <w:p>
      <w:pPr>
        <w:spacing w:after="0" w:line="144" w:lineRule="exact"/>
        <w:rPr>
          <w:rFonts w:ascii="Arial" w:cs="Arial" w:eastAsia="Arial" w:hAnsi="Arial"/>
          <w:sz w:val="18"/>
          <w:szCs w:val="18"/>
          <w:color w:val="auto"/>
        </w:rPr>
      </w:pPr>
    </w:p>
    <w:p>
      <w:pPr>
        <w:ind w:left="960" w:right="540" w:hanging="412"/>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study site before each study may be initiated;</w:t>
      </w:r>
    </w:p>
    <w:p>
      <w:pPr>
        <w:spacing w:after="0" w:line="62" w:lineRule="exact"/>
        <w:rPr>
          <w:rFonts w:ascii="Arial" w:cs="Arial" w:eastAsia="Arial" w:hAnsi="Arial"/>
          <w:sz w:val="18"/>
          <w:szCs w:val="18"/>
          <w:color w:val="auto"/>
        </w:rPr>
      </w:pPr>
    </w:p>
    <w:p>
      <w:pPr>
        <w:jc w:val="both"/>
        <w:ind w:left="960" w:hanging="412"/>
        <w:spacing w:after="0" w:line="263"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75" w:lineRule="exact"/>
        <w:rPr>
          <w:rFonts w:ascii="Arial" w:cs="Arial" w:eastAsia="Arial" w:hAnsi="Arial"/>
          <w:sz w:val="18"/>
          <w:szCs w:val="18"/>
          <w:color w:val="auto"/>
        </w:rPr>
      </w:pPr>
    </w:p>
    <w:p>
      <w:pPr>
        <w:ind w:left="960" w:right="460" w:hanging="412"/>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or BLA, for marketing approval that includes substantive evidence of safety, purity, and potency from results of nonclinical testing and clinical studies;</w:t>
      </w:r>
    </w:p>
    <w:p>
      <w:pPr>
        <w:spacing w:after="0" w:line="62" w:lineRule="exact"/>
        <w:rPr>
          <w:rFonts w:ascii="Arial" w:cs="Arial" w:eastAsia="Arial" w:hAnsi="Arial"/>
          <w:sz w:val="18"/>
          <w:szCs w:val="18"/>
          <w:color w:val="auto"/>
        </w:rPr>
      </w:pPr>
    </w:p>
    <w:p>
      <w:pPr>
        <w:ind w:left="960" w:right="20" w:hanging="412"/>
        <w:spacing w:after="0" w:line="311"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where the biological product is produced to assess compliance with CGMPs, to assure that the facilities, methods and controls are adequate to preserve the biological product’s identity, strength, quality and purity and, if applicable, the FDA’s current good tissue practices, or GTPs, for the use of human cellular and tissue products;</w:t>
      </w:r>
    </w:p>
    <w:p>
      <w:pPr>
        <w:spacing w:after="0" w:line="40" w:lineRule="exact"/>
        <w:rPr>
          <w:rFonts w:ascii="Arial" w:cs="Arial" w:eastAsia="Arial" w:hAnsi="Arial"/>
          <w:sz w:val="16"/>
          <w:szCs w:val="16"/>
          <w:color w:val="auto"/>
        </w:rPr>
      </w:pPr>
    </w:p>
    <w:p>
      <w:pPr>
        <w:ind w:left="960" w:hanging="41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52"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87" w:lineRule="exact"/>
        <w:rPr>
          <w:sz w:val="20"/>
          <w:szCs w:val="20"/>
          <w:color w:val="auto"/>
        </w:rPr>
      </w:pPr>
    </w:p>
    <w:p>
      <w:pPr>
        <w:ind w:firstLine="546"/>
        <w:spacing w:after="0" w:line="267" w:lineRule="auto"/>
        <w:rPr>
          <w:sz w:val="20"/>
          <w:szCs w:val="20"/>
          <w:color w:val="auto"/>
        </w:rPr>
      </w:pPr>
      <w:r>
        <w:rPr>
          <w:rFonts w:ascii="Arial" w:cs="Arial" w:eastAsia="Arial" w:hAnsi="Arial"/>
          <w:sz w:val="17"/>
          <w:szCs w:val="17"/>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 IND is a request for authorization from the FDA to ship an unapproved, investigational product in interstate commerce and to administer it to humans, and must become effective before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In addition to the submission of an IND to the FDA before initiation of a clinical trial in the United States, certain human clinical trials involving recombinant or synthetic nucleic acid molecules had historically been subject to review by the Recombinant DNA Advisory Committee, or RAC, of the National Institutes of Health, or NIH, Office of Biotechnology Activities, or the OBA, pursuant to the NIH Guidelines for Research Involving Recombinant DNA Molecules, or NIH Guidelines. On August 17, 2018, the NIH issued a notice in the Federal Register and issued a public statement proposing changes to the oversight framework for gene therapy trials, including changes to the applicable NIH Guidelines to modify the roles and responsibilities of the RAC with respect to human clinical trials of gene therapy products, and requesting public comment on its proposed modifications. During the public comment period, which closed October 16, 2018, the NIH announced that it will no longer accept new human gene transfer protocols for review as a part of the protocol registration process or convene the RAC to review individual clinical protocols. In April 2019, NIH announced the updated guidelines, which reflect these proposed changes, and clarified that these trials will remain subject to the FDA’s oversight and other clinical trial regulations, and oversight at the local level will continue as set forth in the NIH Guidelines.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FDA also may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right="80" w:firstLine="546"/>
        <w:spacing w:after="0" w:line="268" w:lineRule="auto"/>
        <w:rPr>
          <w:sz w:val="20"/>
          <w:szCs w:val="20"/>
          <w:color w:val="auto"/>
        </w:rPr>
      </w:pPr>
      <w:r>
        <w:rPr>
          <w:rFonts w:ascii="Arial" w:cs="Arial" w:eastAsia="Arial" w:hAnsi="Arial"/>
          <w:sz w:val="17"/>
          <w:szCs w:val="17"/>
          <w:color w:val="auto"/>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research involving recombinant DNA that is subject to NIH guidelines also must be reviewed by an institutional biosafety committee, or IBC, a local institutional committee that reviews and oversees basic and clinical research conducted at that institution. The IBC assesses the safety of the research and identifies any potential risk to public health or the environment.</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Clinical studies typically are conducted in three sequential phases that may overlap or be combined:</w:t>
      </w:r>
    </w:p>
    <w:p>
      <w:pPr>
        <w:spacing w:after="0" w:line="117" w:lineRule="exact"/>
        <w:rPr>
          <w:sz w:val="20"/>
          <w:szCs w:val="20"/>
          <w:color w:val="auto"/>
        </w:rPr>
      </w:pPr>
    </w:p>
    <w:p>
      <w:pPr>
        <w:ind w:left="960" w:right="180" w:hanging="412"/>
        <w:spacing w:after="0" w:line="263"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healthy human subjects and tested for safety. In the case of some products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severe or life-threatening diseases, especially when the product may be too inherently toxic to ethically administer to healthy volunteers, the initial human testing is often conducted in patients.</w:t>
      </w:r>
    </w:p>
    <w:p>
      <w:pPr>
        <w:spacing w:after="0" w:line="75" w:lineRule="exact"/>
        <w:rPr>
          <w:rFonts w:ascii="Arial" w:cs="Arial" w:eastAsia="Arial" w:hAnsi="Arial"/>
          <w:sz w:val="18"/>
          <w:szCs w:val="18"/>
          <w:color w:val="auto"/>
        </w:rPr>
      </w:pPr>
    </w:p>
    <w:p>
      <w:pPr>
        <w:ind w:left="960" w:right="120" w:hanging="412"/>
        <w:spacing w:after="0" w:line="263"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biological product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75" w:lineRule="exact"/>
        <w:rPr>
          <w:rFonts w:ascii="Arial" w:cs="Arial" w:eastAsia="Arial" w:hAnsi="Arial"/>
          <w:sz w:val="18"/>
          <w:szCs w:val="18"/>
          <w:color w:val="auto"/>
        </w:rPr>
      </w:pPr>
    </w:p>
    <w:p>
      <w:pPr>
        <w:ind w:left="960" w:right="120" w:hanging="412"/>
        <w:spacing w:after="0" w:line="263"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studies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study sites. These clinical studies are intended to establish the overall risk/benefit ratio of the product and provide an adequate basis for approval and product labeling.</w:t>
      </w:r>
    </w:p>
    <w:p>
      <w:pPr>
        <w:spacing w:after="0" w:line="184"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57"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studies may not be completed successfully within any specified period, if at all. The FDA or the sponsor, acting on its own or based on a recommendation from the sponsor’s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72" w:lineRule="exact"/>
        <w:rPr>
          <w:sz w:val="20"/>
          <w:szCs w:val="20"/>
          <w:color w:val="auto"/>
        </w:rPr>
      </w:pPr>
    </w:p>
    <w:p>
      <w:pPr>
        <w:ind w:right="200" w:firstLine="546"/>
        <w:spacing w:after="0" w:line="255" w:lineRule="auto"/>
        <w:rPr>
          <w:sz w:val="20"/>
          <w:szCs w:val="20"/>
          <w:color w:val="auto"/>
        </w:rPr>
      </w:pPr>
      <w:r>
        <w:rPr>
          <w:rFonts w:ascii="Arial" w:cs="Arial" w:eastAsia="Arial" w:hAnsi="Arial"/>
          <w:sz w:val="18"/>
          <w:szCs w:val="18"/>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has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right="60" w:firstLine="546"/>
        <w:spacing w:after="0" w:line="291" w:lineRule="auto"/>
        <w:rPr>
          <w:sz w:val="20"/>
          <w:szCs w:val="20"/>
          <w:color w:val="auto"/>
        </w:rPr>
      </w:pPr>
      <w:r>
        <w:rPr>
          <w:rFonts w:ascii="Arial" w:cs="Arial" w:eastAsia="Arial" w:hAnsi="Arial"/>
          <w:sz w:val="16"/>
          <w:szCs w:val="16"/>
          <w:color w:val="auto"/>
        </w:rPr>
        <w:t>Concurrent with clinical studies,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right="180" w:firstLine="546"/>
        <w:spacing w:after="0" w:line="301" w:lineRule="auto"/>
        <w:rPr>
          <w:sz w:val="20"/>
          <w:szCs w:val="20"/>
          <w:color w:val="auto"/>
        </w:rPr>
      </w:pPr>
      <w:r>
        <w:rPr>
          <w:rFonts w:ascii="Arial" w:cs="Arial" w:eastAsia="Arial" w:hAnsi="Arial"/>
          <w:sz w:val="16"/>
          <w:szCs w:val="16"/>
          <w:color w:val="auto"/>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57" w:lineRule="exact"/>
        <w:rPr>
          <w:sz w:val="20"/>
          <w:szCs w:val="20"/>
          <w:color w:val="auto"/>
        </w:rPr>
      </w:pPr>
    </w:p>
    <w:p>
      <w:pPr>
        <w:ind w:right="60" w:firstLine="546"/>
        <w:spacing w:after="0" w:line="269"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82"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the BLA without a REMS, if required.</w:t>
      </w:r>
    </w:p>
    <w:p>
      <w:pPr>
        <w:spacing w:after="0" w:line="18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GTPs. These are FDA regulations that govern the methods used in, and the facilities and controls used for, the manufacture of human cells, tissues, and cellular and tissue-based 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20" w:firstLine="546"/>
        <w:spacing w:after="0" w:line="257" w:lineRule="auto"/>
        <w:rPr>
          <w:sz w:val="20"/>
          <w:szCs w:val="20"/>
          <w:color w:val="auto"/>
        </w:rPr>
      </w:pPr>
      <w:r>
        <w:rPr>
          <w:rFonts w:ascii="Arial" w:cs="Arial" w:eastAsia="Arial" w:hAnsi="Arial"/>
          <w:sz w:val="18"/>
          <w:szCs w:val="18"/>
          <w:color w:val="auto"/>
        </w:rPr>
        <w:t>Under the Pediatric Research Equity Act, or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188" w:lineRule="exact"/>
        <w:rPr>
          <w:sz w:val="20"/>
          <w:szCs w:val="20"/>
          <w:color w:val="auto"/>
        </w:rPr>
      </w:pPr>
    </w:p>
    <w:p>
      <w:pPr>
        <w:ind w:right="80" w:firstLine="546"/>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7" w:lineRule="exact"/>
        <w:rPr>
          <w:sz w:val="20"/>
          <w:szCs w:val="20"/>
          <w:color w:val="auto"/>
        </w:rPr>
      </w:pPr>
    </w:p>
    <w:p>
      <w:pPr>
        <w:ind w:right="120" w:firstLine="546"/>
        <w:spacing w:after="0" w:line="273"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sometimes referred to as Phase 4 clinical studies, designed to further assess a biological product’s safety and effectiveness, and testing and surveillance programs to monitor the safety of approved products that have been commercialized.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jc w:val="both"/>
        <w:ind w:right="200" w:firstLine="546"/>
        <w:spacing w:after="0" w:line="285" w:lineRule="auto"/>
        <w:rPr>
          <w:sz w:val="20"/>
          <w:szCs w:val="20"/>
          <w:color w:val="auto"/>
        </w:rPr>
      </w:pPr>
      <w:r>
        <w:rPr>
          <w:rFonts w:ascii="Arial" w:cs="Arial" w:eastAsia="Arial" w:hAnsi="Arial"/>
          <w:sz w:val="16"/>
          <w:szCs w:val="16"/>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Orphan product designation does not convey any advantage in or shorten the duration of the regulatory review and approval process.</w:t>
      </w:r>
    </w:p>
    <w:p>
      <w:pPr>
        <w:spacing w:after="0" w:line="211" w:lineRule="exact"/>
        <w:rPr>
          <w:sz w:val="20"/>
          <w:szCs w:val="20"/>
          <w:color w:val="auto"/>
        </w:rPr>
      </w:pPr>
    </w:p>
    <w:p>
      <w:pPr>
        <w:ind w:right="80" w:firstLine="546"/>
        <w:spacing w:after="0" w:line="288"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These programs do not change the standards for approval but may expedite the development or approval process. 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right="20"/>
        <w:spacing w:after="0" w:line="263" w:lineRule="auto"/>
        <w:rPr>
          <w:sz w:val="20"/>
          <w:szCs w:val="20"/>
          <w:color w:val="auto"/>
        </w:rPr>
      </w:pPr>
      <w:r>
        <w:rPr>
          <w:rFonts w:ascii="Arial" w:cs="Arial" w:eastAsia="Arial" w:hAnsi="Arial"/>
          <w:sz w:val="18"/>
          <w:szCs w:val="18"/>
          <w:color w:val="auto"/>
        </w:rPr>
        <w:t>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w:t>
      </w:r>
    </w:p>
    <w:p>
      <w:pPr>
        <w:spacing w:after="0" w:line="184"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w:t>
      </w:r>
    </w:p>
    <w:p>
      <w:pPr>
        <w:spacing w:after="0" w:line="171"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compared to ten months for a standard review.</w:t>
      </w:r>
    </w:p>
    <w:p>
      <w:pPr>
        <w:spacing w:after="0" w:line="171"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Regenerative Medicine Advanced Therapies Designation</w:t>
      </w:r>
    </w:p>
    <w:p>
      <w:pPr>
        <w:spacing w:after="0" w:line="117" w:lineRule="exact"/>
        <w:rPr>
          <w:sz w:val="20"/>
          <w:szCs w:val="20"/>
          <w:color w:val="auto"/>
        </w:rPr>
      </w:pPr>
    </w:p>
    <w:p>
      <w:pPr>
        <w:ind w:firstLine="546"/>
        <w:spacing w:after="0" w:line="285" w:lineRule="auto"/>
        <w:rPr>
          <w:sz w:val="20"/>
          <w:szCs w:val="20"/>
          <w:color w:val="auto"/>
        </w:rPr>
      </w:pPr>
      <w:r>
        <w:rPr>
          <w:rFonts w:ascii="Arial" w:cs="Arial" w:eastAsia="Arial" w:hAnsi="Arial"/>
          <w:sz w:val="16"/>
          <w:szCs w:val="16"/>
          <w:color w:val="auto"/>
        </w:rPr>
        <w:t>As part of the 21st Century Cures Act, enacted in December 2016, Congress amended the FD&amp;C Act to facilitate an efficient development program for, and expedite review of regenerative medicine advanced therapies, which include cell and gene therapies, therapeutic tissue engineering products, human cell and tissue products, and combination products using any such therapies or products. Regenerative medicine advanced therapies do not include those human cells, tissues, and cellular and tissue based products regulated solely under section 361 of the Public Health Service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the FDA designate a drug as a RMAT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the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Like the FDA’s other expedited development programs, RMAT designation does not change the standards for approval but may expedite the development or approval process.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60" w:firstLine="546"/>
        <w:spacing w:after="0" w:line="275"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right="140"/>
        <w:spacing w:after="0" w:line="271" w:lineRule="auto"/>
        <w:rPr>
          <w:sz w:val="20"/>
          <w:szCs w:val="20"/>
          <w:color w:val="auto"/>
        </w:rPr>
      </w:pPr>
      <w:r>
        <w:rPr>
          <w:rFonts w:ascii="Arial" w:cs="Arial" w:eastAsia="Arial" w:hAnsi="Arial"/>
          <w:sz w:val="17"/>
          <w:szCs w:val="17"/>
          <w:color w:val="auto"/>
        </w:rPr>
        <w:t>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78"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185"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studies and other factors involved in the filing of the relevant BLA.</w:t>
      </w:r>
    </w:p>
    <w:p>
      <w:pPr>
        <w:spacing w:after="0" w:line="182" w:lineRule="exact"/>
        <w:rPr>
          <w:sz w:val="20"/>
          <w:szCs w:val="20"/>
          <w:color w:val="auto"/>
        </w:rPr>
      </w:pPr>
    </w:p>
    <w:p>
      <w:pPr>
        <w:ind w:right="220" w:firstLine="546"/>
        <w:spacing w:after="0" w:line="259" w:lineRule="auto"/>
        <w:rPr>
          <w:sz w:val="20"/>
          <w:szCs w:val="20"/>
          <w:color w:val="auto"/>
        </w:rPr>
      </w:pPr>
      <w:r>
        <w:rPr>
          <w:rFonts w:ascii="Arial" w:cs="Arial" w:eastAsia="Arial" w:hAnsi="Arial"/>
          <w:sz w:val="18"/>
          <w:szCs w:val="18"/>
          <w:color w:val="auto"/>
        </w:rPr>
        <w:t>A biological product can obtain pediatric market exclusivity in the United States.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The ACA,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0" w:name="page41"/>
    <w:bookmarkEnd w:id="40"/>
    <w:p>
      <w:pPr>
        <w:spacing w:after="0" w:line="272" w:lineRule="auto"/>
        <w:rPr>
          <w:sz w:val="20"/>
          <w:szCs w:val="20"/>
          <w:color w:val="auto"/>
        </w:rPr>
      </w:pPr>
      <w:r>
        <w:rPr>
          <w:rFonts w:ascii="Arial" w:cs="Arial" w:eastAsia="Arial" w:hAnsi="Arial"/>
          <w:sz w:val="17"/>
          <w:szCs w:val="17"/>
          <w:color w:val="auto"/>
        </w:rPr>
        <w:t>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77"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A reference biological product is granted four and 12 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right="40" w:firstLine="546"/>
        <w:spacing w:after="0" w:line="293"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4"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Application, or CTA, must be submitted for each clinical trial to each country’s national health authority and an independent ethics committee, much like the FDA and an IRB, respectively. Once the CTA is approved in accordance with a country’s requirements, the corresponding clinical study may proceed.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firstLine="546"/>
        <w:spacing w:after="0" w:line="263"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w:t>
      </w:r>
    </w:p>
    <w:p>
      <w:pPr>
        <w:spacing w:after="0" w:line="184"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To obtain regulatory approval of an investigational product under European Union regulatory systems, we must submit a marketing authorization application. The application used to file the BLA in the United States is similar to that required in the European Union, with the exception of, among other things, region-specific document requirements. The European Union also provides opportunities for market exclusivity. For example, in the European Union, upon receiving marketing authorization, innovative medicinal products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an innovative medicinal product,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79" w:lineRule="exact"/>
        <w:rPr>
          <w:sz w:val="20"/>
          <w:szCs w:val="20"/>
          <w:color w:val="auto"/>
        </w:rPr>
      </w:pPr>
    </w:p>
    <w:p>
      <w:pPr>
        <w:ind w:right="40" w:firstLine="546"/>
        <w:spacing w:after="0" w:line="287" w:lineRule="auto"/>
        <w:rPr>
          <w:sz w:val="20"/>
          <w:szCs w:val="20"/>
          <w:color w:val="auto"/>
        </w:rPr>
      </w:pPr>
      <w:r>
        <w:rPr>
          <w:rFonts w:ascii="Arial" w:cs="Arial" w:eastAsia="Arial" w:hAnsi="Arial"/>
          <w:sz w:val="16"/>
          <w:szCs w:val="16"/>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72" w:lineRule="exact"/>
        <w:rPr>
          <w:sz w:val="20"/>
          <w:szCs w:val="20"/>
          <w:color w:val="auto"/>
        </w:rPr>
      </w:pPr>
    </w:p>
    <w:p>
      <w:pPr>
        <w:ind w:right="400" w:firstLine="546"/>
        <w:spacing w:after="0" w:line="263"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76" w:lineRule="exact"/>
        <w:rPr>
          <w:sz w:val="20"/>
          <w:szCs w:val="20"/>
          <w:color w:val="auto"/>
        </w:rPr>
      </w:pPr>
    </w:p>
    <w:p>
      <w:pPr>
        <w:ind w:left="960" w:hanging="412"/>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is safer, more effective or otherwise clinically superior;</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applicant consents to a second orphan medicinal product application; or</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applicant cannot supply enough orphan medicinal product.</w:t>
      </w:r>
    </w:p>
    <w:p>
      <w:pPr>
        <w:spacing w:after="0" w:line="252" w:lineRule="exact"/>
        <w:rPr>
          <w:sz w:val="20"/>
          <w:szCs w:val="20"/>
          <w:color w:val="auto"/>
        </w:rPr>
      </w:pPr>
    </w:p>
    <w:p>
      <w:pPr>
        <w:ind w:right="340" w:firstLine="546"/>
        <w:spacing w:after="0" w:line="259"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must be conducted in accordance with GCPs and the applicable regulatory requirements and the ethical principles that have their origin in the Declaration of Helsinki.</w:t>
      </w:r>
    </w:p>
    <w:p>
      <w:pPr>
        <w:spacing w:after="0" w:line="187"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2" w:name="page43"/>
    <w:bookmarkEnd w:id="42"/>
    <w:p>
      <w:pPr>
        <w:ind w:left="56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In addition to FDA restrictions on the marketing of pharmaceutical products, we may be subject to various federal and state laws targeting fraud and abuse in the healthcare industry. These laws may impact, among other things, our business or financial arrangements and relationships through which we market, sell and distribute the gene therapies for which we obtain approval. In addition, we may be subject to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ind w:left="960" w:right="40" w:hanging="412"/>
        <w:spacing w:after="0" w:line="267" w:lineRule="auto"/>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 fees are currently under review by the Biden administration and may be amended or repealed;</w:t>
      </w:r>
    </w:p>
    <w:p>
      <w:pPr>
        <w:spacing w:after="0" w:line="83" w:lineRule="exact"/>
        <w:rPr>
          <w:rFonts w:ascii="Arial" w:cs="Arial" w:eastAsia="Arial" w:hAnsi="Arial"/>
          <w:sz w:val="17"/>
          <w:szCs w:val="17"/>
          <w:color w:val="auto"/>
        </w:rPr>
      </w:pPr>
    </w:p>
    <w:p>
      <w:pPr>
        <w:ind w:left="960" w:hanging="412"/>
        <w:spacing w:after="0" w:line="271" w:lineRule="auto"/>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70" w:lineRule="exact"/>
        <w:rPr>
          <w:rFonts w:ascii="Arial" w:cs="Arial" w:eastAsia="Arial" w:hAnsi="Arial"/>
          <w:sz w:val="17"/>
          <w:szCs w:val="17"/>
          <w:color w:val="auto"/>
        </w:rPr>
      </w:pPr>
    </w:p>
    <w:p>
      <w:pPr>
        <w:ind w:left="960" w:right="20" w:hanging="412"/>
        <w:spacing w:after="0" w:line="259"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960" w:right="80" w:hanging="412"/>
        <w:spacing w:after="0" w:line="291"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ind w:left="960" w:hanging="412"/>
        <w:spacing w:after="0" w:line="279"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3" w:lineRule="exact"/>
        <w:rPr>
          <w:rFonts w:ascii="Arial" w:cs="Arial" w:eastAsia="Arial" w:hAnsi="Arial"/>
          <w:sz w:val="17"/>
          <w:szCs w:val="17"/>
          <w:color w:val="auto"/>
        </w:rPr>
      </w:pPr>
    </w:p>
    <w:p>
      <w:pPr>
        <w:ind w:left="960" w:right="60" w:hanging="412"/>
        <w:spacing w:after="0" w:line="293"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(currently defined to include doctors, dentists, optometrists, podiatrists and chiropractors), physician assistants, nurse practitioners, clinical nurse specialists, certified registered nurse anesthetists and teaching hospitals, as well as ownership and investment interests held by the physicians described above and their immediate family members.</w:t>
      </w:r>
    </w:p>
    <w:p>
      <w:pPr>
        <w:spacing w:after="0" w:line="56" w:lineRule="exact"/>
        <w:rPr>
          <w:rFonts w:ascii="Arial" w:cs="Arial" w:eastAsia="Arial" w:hAnsi="Arial"/>
          <w:sz w:val="16"/>
          <w:szCs w:val="16"/>
          <w:color w:val="auto"/>
        </w:rPr>
      </w:pPr>
    </w:p>
    <w:p>
      <w:pPr>
        <w:ind w:left="960" w:right="40" w:hanging="41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62" w:lineRule="exact"/>
        <w:rPr>
          <w:rFonts w:ascii="Arial" w:cs="Arial" w:eastAsia="Arial" w:hAnsi="Arial"/>
          <w:sz w:val="18"/>
          <w:szCs w:val="18"/>
          <w:color w:val="auto"/>
        </w:rPr>
      </w:pPr>
    </w:p>
    <w:p>
      <w:pPr>
        <w:ind w:left="960" w:right="300" w:hanging="41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6" w:lineRule="exact"/>
        <w:rPr>
          <w:sz w:val="20"/>
          <w:szCs w:val="20"/>
          <w:color w:val="auto"/>
        </w:rPr>
      </w:pPr>
    </w:p>
    <w:p>
      <w:pPr>
        <w:ind w:right="540" w:firstLine="546"/>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70"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87"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It is possible that governmental authorities will conclude that our business practices, including our arrangements with physicians and other healthcare providers, some of whom receive stock options as compensation for services provided, may not comply with current or future statutes, regulations, agency guidance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gene therapies outside the United States will also likely subject us to foreign equivalents of the healthcare laws mentioned above, among other foreign laws.</w:t>
      </w:r>
    </w:p>
    <w:p>
      <w:pPr>
        <w:spacing w:after="0" w:line="172" w:lineRule="exact"/>
        <w:rPr>
          <w:sz w:val="20"/>
          <w:szCs w:val="20"/>
          <w:color w:val="auto"/>
        </w:rPr>
      </w:pPr>
    </w:p>
    <w:p>
      <w:pPr>
        <w:ind w:right="400" w:firstLine="546"/>
        <w:spacing w:after="0" w:line="263" w:lineRule="auto"/>
        <w:rPr>
          <w:sz w:val="20"/>
          <w:szCs w:val="20"/>
          <w:color w:val="auto"/>
        </w:rPr>
      </w:pPr>
      <w:r>
        <w:rPr>
          <w:rFonts w:ascii="Arial" w:cs="Arial" w:eastAsia="Arial" w:hAnsi="Arial"/>
          <w:sz w:val="18"/>
          <w:szCs w:val="18"/>
          <w:color w:val="auto"/>
        </w:rPr>
        <w:t>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160" w:firstLine="546"/>
        <w:spacing w:after="0" w:line="259" w:lineRule="auto"/>
        <w:rPr>
          <w:sz w:val="20"/>
          <w:szCs w:val="20"/>
          <w:color w:val="auto"/>
        </w:rPr>
      </w:pPr>
      <w:r>
        <w:rPr>
          <w:rFonts w:ascii="Arial" w:cs="Arial" w:eastAsia="Arial" w:hAnsi="Arial"/>
          <w:sz w:val="18"/>
          <w:szCs w:val="18"/>
          <w:color w:val="auto"/>
        </w:rPr>
        <w:t>Regulators globally are also imposing greater monetary fines for privacy violations. For example, in 2016, the European Union adopted a new regulation governing data practices and privacy called the General Data Protection Regulation, or GDPR, which became effective on May 25, 2018. Non-compliance with the GDPR may result in monetary penalties of up to €20 million or 4% of worldwide revenue, whichever is higher. Notably, on January 21, 2019, Google was fined almost $57 million by French regulators for violating GDPR.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Data Collection</w:t>
      </w:r>
    </w:p>
    <w:p>
      <w:pPr>
        <w:spacing w:after="0" w:line="117"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The collection and use of personal health data in the European Union is governed by the provisions of the Data Protection Directive, and as of May 25, 2018 the GDPR. The GDPR applies to any company established in the European Union as well as to those outside the European Union if they collect and use personal data in connection with the offering of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may operate in.</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40" w:firstLine="546"/>
        <w:spacing w:after="0" w:line="287"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created a new Medicare Part D coverage gap discount program, in which manufacturers must agree to offer 70% (as of 2019) point-of-sale discounts off negotiated prices of applicable brand drugs to eligible beneficiaries during their coverage gap period, as a condition for manufacturers’ outpatient drugs coverage under Medicare Part D; subjects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established the Center for Medicare Innovation at Centers for Medicare &amp; Medicaid Services, or CMS, to test innovative payment and service delivery models to lower Medicare and Medicaid spending.</w:t>
      </w:r>
    </w:p>
    <w:p>
      <w:pPr>
        <w:spacing w:after="0" w:line="172" w:lineRule="exact"/>
        <w:rPr>
          <w:sz w:val="20"/>
          <w:szCs w:val="20"/>
          <w:color w:val="auto"/>
        </w:rPr>
      </w:pPr>
    </w:p>
    <w:p>
      <w:pPr>
        <w:ind w:right="20" w:firstLine="546"/>
        <w:spacing w:after="0" w:line="285"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and we expect there will be additional challenges and amendments to the ACA in the future. Various portions of the ACA are currently undergoing legal and constitutional challenges in the United States Supreme Court and members of Congress have introduced several pieces of legislation aimed at significantly revising or repealing the ACA. The United States Supreme Court is expected to rule on a legal challenge to the constitutionality of the ACA in early 2021. The implementation of the ACA is ongoing, the law appears likely to continue the downward pressure on pharmaceutical pricing, especially under the Medicare program, and may also increase our regulatory burdens and operating costs. Litigation and legislation related to the ACA are likely to continue, with unpredictable and uncertain results. In addition, the Budget Control Act of 2011 and the Bipartisan Budget Act of 2015 led to aggregate reductions of Medicare payments to providers of up to 2% per fiscal year that will remain in effect through 2030 unless additional Congressional action is taken. Pursuant to the Coronavirus Aid, Relief, and Economic Security Act, also known as the CARES Act, as well as subsequent legislation, these reductions have been suspended from May 1, 2020 through March 31, 2021 due to the COVID-19 pandemic. Proposed legislation, if passed, would extend this suspension until the end of the pandemic. Further,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proposing and passing legislation and implementing regulations designed to control pharmaceutical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220"/>
        <w:spacing w:after="0" w:line="277" w:lineRule="auto"/>
        <w:rPr>
          <w:sz w:val="20"/>
          <w:szCs w:val="20"/>
          <w:color w:val="auto"/>
        </w:rPr>
      </w:pPr>
      <w:r>
        <w:rPr>
          <w:rFonts w:ascii="Arial" w:cs="Arial" w:eastAsia="Arial" w:hAnsi="Arial"/>
          <w:sz w:val="18"/>
          <w:szCs w:val="18"/>
          <w:color w:val="auto"/>
        </w:rPr>
        <w:t>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0" w:lineRule="exact"/>
        <w:rPr>
          <w:sz w:val="20"/>
          <w:szCs w:val="20"/>
          <w:color w:val="auto"/>
        </w:rPr>
      </w:pPr>
    </w:p>
    <w:p>
      <w:pPr>
        <w:ind w:right="40" w:firstLine="546"/>
        <w:spacing w:after="0" w:line="296" w:lineRule="auto"/>
        <w:rPr>
          <w:sz w:val="20"/>
          <w:szCs w:val="20"/>
          <w:color w:val="auto"/>
        </w:rPr>
      </w:pPr>
      <w:r>
        <w:rPr>
          <w:rFonts w:ascii="Arial" w:cs="Arial" w:eastAsia="Arial" w:hAnsi="Arial"/>
          <w:sz w:val="16"/>
          <w:szCs w:val="16"/>
          <w:color w:val="auto"/>
        </w:rPr>
        <w:t>Finally,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61"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We expect that additional foreign, federal and state healthcare reform measures will be adopted in the future, any of which could limit the amounts that foreign federal and state governments will pay for healthcare products and services, which could result in limited coverage and reimbursement and reduced demand for our products, if approved, or additional pricing pressures.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Significant uncertainty exists as to the coverage and reimbursement status of any gene therapies for which we obtain regulatory approval. In the United States and markets in other countries, sales of any gene therapies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A decision by a third-party payor not to cover our gene therapies could reduce physician utilization of our products once approved and have a material adverse effect on our sales, results of operations and financial condition.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85" w:lineRule="exact"/>
        <w:rPr>
          <w:sz w:val="20"/>
          <w:szCs w:val="20"/>
          <w:color w:val="auto"/>
        </w:rPr>
      </w:pPr>
    </w:p>
    <w:p>
      <w:pPr>
        <w:ind w:right="440" w:firstLine="546"/>
        <w:spacing w:after="0" w:line="263" w:lineRule="auto"/>
        <w:rPr>
          <w:sz w:val="20"/>
          <w:szCs w:val="20"/>
          <w:color w:val="auto"/>
        </w:rPr>
      </w:pPr>
      <w:r>
        <w:rPr>
          <w:rFonts w:ascii="Arial" w:cs="Arial" w:eastAsia="Arial" w:hAnsi="Arial"/>
          <w:sz w:val="18"/>
          <w:szCs w:val="18"/>
          <w:color w:val="auto"/>
        </w:rPr>
        <w:t>In addition,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w:t>
      </w:r>
    </w:p>
    <w:p>
      <w:pPr>
        <w:spacing w:after="0" w:line="184"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As a result, the coverage determination process will require us to provide scientific and clinical support for the use of our products to each payor separately and will be a time-consuming process.</w:t>
      </w:r>
    </w:p>
    <w:p>
      <w:pPr>
        <w:spacing w:after="0" w:line="170" w:lineRule="exact"/>
        <w:rPr>
          <w:sz w:val="20"/>
          <w:szCs w:val="20"/>
          <w:color w:val="auto"/>
        </w:rPr>
      </w:pPr>
    </w:p>
    <w:p>
      <w:pPr>
        <w:ind w:right="240" w:firstLine="546"/>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clinical trials in order to demonstrate the medical necessity and cost-effectiveness of such product, in addition to the costs required to obtain regulatory approvals. If third-party payors do not consider a product to be cost-effective compared to other available therapies, they may not cover the product as a benefit under their plans or, if they do, the level of payment may not be sufficient to allow a company to sell its products at a profit. Factors payors consider in determining reimbursement are based on whether the product is:</w:t>
      </w:r>
    </w:p>
    <w:p>
      <w:pPr>
        <w:spacing w:after="0" w:line="70" w:lineRule="exact"/>
        <w:rPr>
          <w:sz w:val="20"/>
          <w:szCs w:val="20"/>
          <w:color w:val="auto"/>
        </w:rPr>
      </w:pPr>
    </w:p>
    <w:p>
      <w:pPr>
        <w:ind w:left="960" w:hanging="41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6" w:name="page47"/>
    <w:bookmarkEnd w:id="46"/>
    <w:p>
      <w:pPr>
        <w:ind w:right="180" w:firstLine="546"/>
        <w:spacing w:after="0" w:line="254" w:lineRule="auto"/>
        <w:rPr>
          <w:sz w:val="20"/>
          <w:szCs w:val="20"/>
          <w:color w:val="auto"/>
        </w:rPr>
      </w:pPr>
      <w:r>
        <w:rPr>
          <w:rFonts w:ascii="Arial" w:cs="Arial" w:eastAsia="Arial" w:hAnsi="Arial"/>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As of December 31, 2020, we had 121 full-time employees, 34 of whom have Ph.D. or M.D. degrees. Of these full-time employees, 88 employees are engaged in research and development activities and 33 employees are engaged in finance, legal, human resources, facilities and general management. We have no collective bargaining agreements with our employees and we have not experienced any work stoppages. We consider our relationship with our employees to be good.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121"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We are subject to the informational requirements of the Exchange Act and are required to file annual, quarterly and current reports, proxy statements and other information with the SEC. You can read our SEC filings at the SEC’s website at www.sec.gov. We also maintain a website at www.avrobio.com. You may access, free of charge, our annual reports on Form 10-K, quarterly reports on Form 10-Q, current reports on Form 8-K and any amendments to those reports, as soon as reasonably practicable after such material is electronically filed with, or furnished to, the SEC.</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firstLine="546"/>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uncertainties, together with all other information in this Annual Report on Form 10-K,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Annual Report on Form 10-K.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position and need for additional capital</w:t>
      </w:r>
    </w:p>
    <w:p>
      <w:pPr>
        <w:spacing w:after="0" w:line="121" w:lineRule="exact"/>
        <w:rPr>
          <w:sz w:val="20"/>
          <w:szCs w:val="20"/>
          <w:color w:val="auto"/>
        </w:rPr>
      </w:pPr>
    </w:p>
    <w:p>
      <w:pPr>
        <w:ind w:left="560" w:right="680"/>
        <w:spacing w:after="0" w:line="277"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62"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Since inception, we have incurred net losses. We incurred net losses of $119.7 million and $73.0 million for the years ended December 31, 2020 and 2019, respectively. We historically financed our operations primarily through private placements of our preferred stock and, more recently, our initial public offering and follow-on public offerings of our common stock, as well as sales of our common stock under our “at-the-market” facility.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56" w:lineRule="exact"/>
        <w:rPr>
          <w:sz w:val="20"/>
          <w:szCs w:val="20"/>
          <w:color w:val="auto"/>
        </w:rPr>
      </w:pPr>
    </w:p>
    <w:p>
      <w:pPr>
        <w:ind w:left="960" w:right="200" w:hanging="412"/>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clinical trials, particularly if and as we commence and continue clinical-stage activities for our product candidates;</w:t>
      </w:r>
    </w:p>
    <w:p>
      <w:pPr>
        <w:spacing w:after="0" w:line="62" w:lineRule="exact"/>
        <w:rPr>
          <w:rFonts w:ascii="Arial" w:cs="Arial" w:eastAsia="Arial" w:hAnsi="Arial"/>
          <w:sz w:val="18"/>
          <w:szCs w:val="18"/>
          <w:color w:val="auto"/>
        </w:rPr>
      </w:pPr>
    </w:p>
    <w:p>
      <w:pPr>
        <w:ind w:left="960" w:right="420" w:hanging="412"/>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additional clinical trials, including the planned investigator-sponsored clinical trial of AVR-RD-05, and preclinical studies for our current and future product candidates;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experience delays or interruptions in preclinical studies, clinical trials, or our supply chain due to the COVID-19 pandemic;</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960" w:right="520" w:hanging="412"/>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960" w:right="540" w:hanging="412"/>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continue our implementation of our plato platform as we seek to industrialize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approach into a robust, scalable and, if approved, commercially viable process;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17" w:lineRule="exact"/>
        <w:rPr>
          <w:rFonts w:ascii="Arial" w:cs="Arial" w:eastAsia="Arial" w:hAnsi="Arial"/>
          <w:sz w:val="18"/>
          <w:szCs w:val="18"/>
          <w:color w:val="auto"/>
        </w:rPr>
      </w:pPr>
    </w:p>
    <w:p>
      <w:pPr>
        <w:ind w:left="960" w:right="220" w:hanging="412"/>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 our office space, infrastructure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ind w:right="20" w:firstLine="546"/>
        <w:spacing w:after="0" w:line="271"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ind w:left="5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right="240" w:firstLine="546"/>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79" w:lineRule="exact"/>
        <w:rPr>
          <w:sz w:val="20"/>
          <w:szCs w:val="20"/>
          <w:color w:val="auto"/>
        </w:rPr>
      </w:pPr>
    </w:p>
    <w:p>
      <w:pPr>
        <w:ind w:left="960" w:right="380" w:hanging="412"/>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17" w:lineRule="exact"/>
        <w:rPr>
          <w:rFonts w:ascii="Arial" w:cs="Arial" w:eastAsia="Arial" w:hAnsi="Arial"/>
          <w:sz w:val="18"/>
          <w:szCs w:val="18"/>
          <w:color w:val="auto"/>
        </w:rPr>
      </w:pPr>
    </w:p>
    <w:p>
      <w:pPr>
        <w:ind w:left="960" w:right="480" w:hanging="412"/>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7" w:lineRule="exact"/>
        <w:rPr>
          <w:rFonts w:ascii="Arial" w:cs="Arial" w:eastAsia="Arial" w:hAnsi="Arial"/>
          <w:sz w:val="18"/>
          <w:szCs w:val="18"/>
          <w:color w:val="auto"/>
        </w:rPr>
      </w:pPr>
    </w:p>
    <w:p>
      <w:pPr>
        <w:ind w:left="960" w:right="320" w:hanging="412"/>
        <w:spacing w:after="0" w:line="342" w:lineRule="auto"/>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15" w:lineRule="exact"/>
        <w:rPr>
          <w:rFonts w:ascii="Arial" w:cs="Arial" w:eastAsia="Arial" w:hAnsi="Arial"/>
          <w:sz w:val="16"/>
          <w:szCs w:val="16"/>
          <w:color w:val="auto"/>
        </w:rPr>
      </w:pPr>
    </w:p>
    <w:p>
      <w:pPr>
        <w:ind w:left="960" w:hanging="41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960" w:right="340" w:hanging="412"/>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00" w:firstLine="546"/>
        <w:spacing w:after="0" w:line="301"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5"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140" w:firstLine="546"/>
        <w:spacing w:after="0" w:line="257" w:lineRule="auto"/>
        <w:rPr>
          <w:sz w:val="20"/>
          <w:szCs w:val="20"/>
          <w:color w:val="auto"/>
        </w:rPr>
      </w:pPr>
      <w:r>
        <w:rPr>
          <w:rFonts w:ascii="Arial" w:cs="Arial" w:eastAsia="Arial" w:hAnsi="Arial"/>
          <w:sz w:val="18"/>
          <w:szCs w:val="18"/>
          <w:color w:val="auto"/>
        </w:rPr>
        <w:t>As of December 31, 2020, we had cash and cash equivalents of $259.7 million. We believe that our existing cash and cash equivalents as of December 31, 2020 will enable us to fund our operating expenses and capital expenditure requirements into the first quarter of 2023. This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p>
    <w:p>
      <w:pPr>
        <w:spacing w:after="0" w:line="188"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For example, as part of our registration strategy for AVR-RD-01, we are evaluating expanding our clinical development program in support of optimizing the potential for a broad label. Such expansion, if implemented, could require significant additional development costs for AVR-RD-01. Furthermore, we have expanded the number of programs in our pipeline to a total of six investigational gene therapies, three of which are in clinical development. As a result, further development of these programs will require us to expend significant resources to advance these candidates.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ind w:right="440"/>
        <w:spacing w:after="0" w:line="277" w:lineRule="auto"/>
        <w:rPr>
          <w:sz w:val="20"/>
          <w:szCs w:val="20"/>
          <w:color w:val="auto"/>
        </w:rPr>
      </w:pPr>
      <w:r>
        <w:rPr>
          <w:rFonts w:ascii="Arial" w:cs="Arial" w:eastAsia="Arial" w:hAnsi="Arial"/>
          <w:sz w:val="18"/>
          <w:szCs w:val="18"/>
          <w:color w:val="auto"/>
        </w:rPr>
        <w:t>capital when needed or on reasonable terms, we would be forced to delay, reduce or eliminate certain of our research and development programs. Our future capital requirements will depend on many factors, including:</w:t>
      </w:r>
    </w:p>
    <w:p>
      <w:pPr>
        <w:spacing w:after="0" w:line="62" w:lineRule="exact"/>
        <w:rPr>
          <w:sz w:val="20"/>
          <w:szCs w:val="20"/>
          <w:color w:val="auto"/>
        </w:rPr>
      </w:pPr>
    </w:p>
    <w:p>
      <w:pPr>
        <w:ind w:left="960" w:right="320" w:hanging="412"/>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other product candidates, including the extent of any impacts from the COVID-19 pandemic on these activities;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960" w:right="540" w:hanging="412"/>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28" w:lineRule="exact"/>
        <w:rPr>
          <w:rFonts w:ascii="Arial" w:cs="Arial" w:eastAsia="Arial" w:hAnsi="Arial"/>
          <w:sz w:val="17"/>
          <w:szCs w:val="17"/>
          <w:color w:val="auto"/>
        </w:rPr>
      </w:pPr>
    </w:p>
    <w:p>
      <w:pPr>
        <w:ind w:left="960" w:right="340" w:hanging="412"/>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right="60" w:firstLine="546"/>
        <w:spacing w:after="0" w:line="275"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40" w:firstLine="546"/>
        <w:spacing w:after="0" w:line="291" w:lineRule="auto"/>
        <w:rPr>
          <w:sz w:val="20"/>
          <w:szCs w:val="20"/>
          <w:color w:val="auto"/>
        </w:rPr>
      </w:pPr>
      <w:r>
        <w:rPr>
          <w:rFonts w:ascii="Arial" w:cs="Arial" w:eastAsia="Arial" w:hAnsi="Arial"/>
          <w:sz w:val="16"/>
          <w:szCs w:val="16"/>
          <w:color w:val="auto"/>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certain of our product candidates and establishing research and development and manufacturing capabilities.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an early-stage company, we may encounter unforeseen expenses, difficulties, complications, delays and other known and unknown factors.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left="560" w:right="500"/>
        <w:spacing w:after="0" w:line="342" w:lineRule="auto"/>
        <w:rPr>
          <w:sz w:val="20"/>
          <w:szCs w:val="20"/>
          <w:color w:val="auto"/>
        </w:rPr>
      </w:pPr>
      <w:r>
        <w:rPr>
          <w:rFonts w:ascii="Arial" w:cs="Arial" w:eastAsia="Arial" w:hAnsi="Arial"/>
          <w:sz w:val="16"/>
          <w:szCs w:val="16"/>
          <w:b w:val="1"/>
          <w:bCs w:val="1"/>
          <w:i w:val="1"/>
          <w:iCs w:val="1"/>
          <w:color w:val="auto"/>
        </w:rPr>
        <w:t>Business interruptions resulting from the coronavirus disease (COVID-19) pandemic or similar public health crises have caused and may continue to cause a disruption of the development of our product candidates and adversely impact our business.</w:t>
      </w:r>
    </w:p>
    <w:p>
      <w:pPr>
        <w:spacing w:after="0" w:line="16"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Public health crises such as pandemics or similar outbreaks could adversely impact our business. In December 2019, a novel strain of a virus named SARS-CoV-2 (severe acute respiratory syndrome coronavirus 2), or coronavirus, which causes coronavirus disease, or COVID-19, was reported to have surfaced in Wuhan, China and subsequently spread across the world. The COVID-19 pandemic has led to the implementation of various responses, including government-imposed quarantines and stay-at-home orders, business closures, border closures and travel restrictions, cancellations of public gatherings, and other public health safety measures. These measures continue to disrupt normal business operations both in and outside of affected areas and have had significant negative impacts on businesses and financial markets worldwide.</w:t>
      </w:r>
    </w:p>
    <w:p>
      <w:pPr>
        <w:spacing w:after="0" w:line="178"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We continue to monitor our operations and applicable government recommendations and have implemented a work-from-home policy for most employees, excluding our laboratory staff and a limited number of non-laboratory employees. Notwithstanding these measures, the COVID-19 pandemic could affect the health and availability of our workforce as well as those of the third parties on which we rely. If members of our management and other key personnel are unable to perform their duties or have limited availability due to COVID-19, we may not be able to execute on our business strategy and/or our operations may be negatively impacted. We may experience limitations in employee resources, including because of sickness of employees or their families or the desire of employees to avoid contact with individuals or large groups of people.</w:t>
      </w:r>
    </w:p>
    <w:p>
      <w:pPr>
        <w:spacing w:after="0" w:line="178" w:lineRule="exact"/>
        <w:rPr>
          <w:sz w:val="20"/>
          <w:szCs w:val="20"/>
          <w:color w:val="auto"/>
        </w:rPr>
      </w:pPr>
    </w:p>
    <w:p>
      <w:pPr>
        <w:ind w:right="40" w:firstLine="546"/>
        <w:spacing w:after="0" w:line="290" w:lineRule="auto"/>
        <w:rPr>
          <w:sz w:val="20"/>
          <w:szCs w:val="20"/>
          <w:color w:val="auto"/>
        </w:rPr>
      </w:pPr>
      <w:r>
        <w:rPr>
          <w:rFonts w:ascii="Arial" w:cs="Arial" w:eastAsia="Arial" w:hAnsi="Arial"/>
          <w:sz w:val="16"/>
          <w:szCs w:val="16"/>
          <w:color w:val="auto"/>
        </w:rPr>
        <w:t>In addition, clinical trial activities, including patient enrollment and data collection, are dependent upon global clinical trial sites which have been and continue to be adversely affected by the COVID-19 pandemic. For example, as the global healthcare community responded to the fluctuations in COVID-19 cases and hospitalizations, many hospitals, including our clinical sites, temporarily paused elective procedures, which included dosing of new patients with our investigational gene therapies. While dosing of new patients has begun to resume, our ability to continue clinical activities without further delay or interruption will depend on future developments that are highly uncertain and cannot be accurately predicted. Additionally, while ongoing data collection has continued for our patients that have been dosed, certain data collection has been delayed and additional delays could result from COVID-19-related interruptions. We are currently conducting clinical trials for our product candidates in the United States, Canada and Australia, and plan to expand to other geographies including Japan, Europe and Israel, and each of these regions are currently being affected by COVID-19.</w:t>
      </w:r>
    </w:p>
    <w:p>
      <w:pPr>
        <w:spacing w:after="0" w:line="165"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Additional factors from the COVID-19 pandemic that have delayed and may continue to delay or otherwise adversely affect enrollment in or the progress of the clinical trials of our product candidates, as well as our business generally, include:</w:t>
      </w:r>
    </w:p>
    <w:p>
      <w:pPr>
        <w:spacing w:after="0" w:line="62" w:lineRule="exact"/>
        <w:rPr>
          <w:sz w:val="20"/>
          <w:szCs w:val="20"/>
          <w:color w:val="auto"/>
        </w:rPr>
      </w:pPr>
    </w:p>
    <w:p>
      <w:pPr>
        <w:jc w:val="both"/>
        <w:ind w:left="960" w:right="120" w:hanging="412"/>
        <w:spacing w:after="0" w:line="263"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960" w:hanging="412"/>
        <w:spacing w:after="0" w:line="279" w:lineRule="auto"/>
        <w:tabs>
          <w:tab w:leader="none" w:pos="9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spacing w:after="0" w:line="63" w:lineRule="exact"/>
        <w:rPr>
          <w:rFonts w:ascii="Arial" w:cs="Arial" w:eastAsia="Arial" w:hAnsi="Arial"/>
          <w:sz w:val="17"/>
          <w:szCs w:val="17"/>
          <w:color w:val="auto"/>
        </w:rPr>
      </w:pPr>
    </w:p>
    <w:p>
      <w:pPr>
        <w:ind w:left="960" w:right="460" w:hanging="412"/>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62" w:lineRule="exact"/>
        <w:rPr>
          <w:rFonts w:ascii="Arial" w:cs="Arial" w:eastAsia="Arial" w:hAnsi="Arial"/>
          <w:sz w:val="18"/>
          <w:szCs w:val="18"/>
          <w:color w:val="auto"/>
        </w:rPr>
      </w:pPr>
    </w:p>
    <w:p>
      <w:pPr>
        <w:ind w:left="960" w:right="20" w:hanging="412"/>
        <w:spacing w:after="0" w:line="255"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those of third party service providers, contractors, or suppliers on whom we rely, impair the productivity of our personnel, subject us to additional cybersecurity risks, create data accessibility problems, cause us to become more susceptible to communication disruptions, or delay necessary interactions with local regulators, ethics committees and other important agencies and contractors;</w:t>
      </w:r>
    </w:p>
    <w:p>
      <w:pPr>
        <w:spacing w:after="0" w:line="84" w:lineRule="exact"/>
        <w:rPr>
          <w:rFonts w:ascii="Arial" w:cs="Arial" w:eastAsia="Arial" w:hAnsi="Arial"/>
          <w:sz w:val="18"/>
          <w:szCs w:val="18"/>
          <w:color w:val="auto"/>
        </w:rPr>
      </w:pPr>
    </w:p>
    <w:p>
      <w:pPr>
        <w:ind w:left="960" w:right="60" w:hanging="412"/>
        <w:spacing w:after="0" w:line="342" w:lineRule="auto"/>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business disruptions involving our third parties on whom we rely, including CROs and other collaborators for the conduct of our clinical trials or our third party suppliers or manufacturers, which could impact their ability to perform adequately or disrupt our supply chain;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ind w:left="960" w:right="260" w:hanging="412"/>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hospital or research institution policies or government regulations, which could delay or adversely impact our ability to conduct our clinical trials.</w:t>
      </w:r>
    </w:p>
    <w:p>
      <w:pPr>
        <w:spacing w:after="0" w:line="170" w:lineRule="exact"/>
        <w:rPr>
          <w:sz w:val="20"/>
          <w:szCs w:val="20"/>
          <w:color w:val="auto"/>
        </w:rPr>
      </w:pPr>
    </w:p>
    <w:p>
      <w:pPr>
        <w:ind w:right="400" w:firstLine="546"/>
        <w:spacing w:after="0" w:line="259" w:lineRule="auto"/>
        <w:rPr>
          <w:sz w:val="20"/>
          <w:szCs w:val="20"/>
          <w:color w:val="auto"/>
        </w:rPr>
      </w:pPr>
      <w:r>
        <w:rPr>
          <w:rFonts w:ascii="Arial" w:cs="Arial" w:eastAsia="Arial" w:hAnsi="Arial"/>
          <w:sz w:val="18"/>
          <w:szCs w:val="18"/>
          <w:color w:val="auto"/>
        </w:rPr>
        <w:t>Additionally, 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87"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color w:val="auto"/>
        </w:rPr>
        <w:t>These and other factors arising from the COVID-19 pandemic could worsen and further adversely impact our ability to conduct clinical trials and our business generally, and could have a material adverse impact on our operations and financial condition and results. The extent to which the COVID-19 pandemic impacts our operations or those of our third party partners will depend on future developments, which are highly uncertain and cannot be predicted with confidence, including the duration of the pandemic, the efficacy and safety of vaccines, the ability of third parties to manufacture and distribute vaccines, new information that may emerge concerning mutations of the coronavirus, and the actions to contain or mitigate the coronavirus or treat its impact, among others.</w:t>
      </w:r>
    </w:p>
    <w:p>
      <w:pPr>
        <w:spacing w:after="0" w:line="300"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timely enrollment in our clinical trials is dependent upon global clinical trial sites which have been and may continue to be adversely affected by the COVID-19 pandemic. In addition, the implementation of our plato platform and upgrades, including our transition to TCI conditioning using busulfan for our single-agent conditioning regimen, may result in delays or setbacks in our research and development activities, and we may not realize the intended benefits of these efforts. In addition,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as of March 1, 2021 we have only dosed three patients using our plato platform, which we plan to utilize for the majority of patients in our ongoing FAB-GT clinical trial for AVR-RD-01 and all patients in the Guard1 clinical trial of AVR-RD-02. Our implementation of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ultimately achieve the same favorable preliminary results observed to date.</w:t>
      </w:r>
    </w:p>
    <w:p>
      <w:pPr>
        <w:spacing w:after="0" w:line="182" w:lineRule="exact"/>
        <w:rPr>
          <w:sz w:val="20"/>
          <w:szCs w:val="20"/>
          <w:color w:val="auto"/>
        </w:rPr>
      </w:pPr>
    </w:p>
    <w:p>
      <w:pPr>
        <w:ind w:right="120" w:firstLine="546"/>
        <w:spacing w:after="0" w:line="291" w:lineRule="auto"/>
        <w:rPr>
          <w:sz w:val="20"/>
          <w:szCs w:val="20"/>
          <w:color w:val="auto"/>
        </w:rPr>
      </w:pPr>
      <w:r>
        <w:rPr>
          <w:rFonts w:ascii="Arial" w:cs="Arial" w:eastAsia="Arial" w:hAnsi="Arial"/>
          <w:sz w:val="16"/>
          <w:szCs w:val="16"/>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66"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20"/>
        <w:spacing w:after="0" w:line="257" w:lineRule="auto"/>
        <w:rPr>
          <w:sz w:val="20"/>
          <w:szCs w:val="20"/>
          <w:color w:val="auto"/>
        </w:rPr>
      </w:pPr>
      <w:r>
        <w:rPr>
          <w:rFonts w:ascii="Arial" w:cs="Arial" w:eastAsia="Arial" w:hAnsi="Arial"/>
          <w:sz w:val="18"/>
          <w:szCs w:val="18"/>
          <w:color w:val="auto"/>
        </w:rPr>
        <w:t>before initiation of a clinical trial. If we were to engage an NIH-funded institution to conduct a clinical trial, that institution’s IBC as well as its institutional review board, or IRB, would need to review the proposed clinical trial to assess the safety of the trial.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88"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57"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78" w:lineRule="exact"/>
        <w:rPr>
          <w:sz w:val="20"/>
          <w:szCs w:val="20"/>
          <w:color w:val="auto"/>
        </w:rPr>
      </w:pPr>
    </w:p>
    <w:p>
      <w:pPr>
        <w:ind w:right="140" w:firstLine="546"/>
        <w:spacing w:after="0" w:line="254" w:lineRule="auto"/>
        <w:rPr>
          <w:sz w:val="20"/>
          <w:szCs w:val="20"/>
          <w:color w:val="auto"/>
        </w:rPr>
      </w:pPr>
      <w:r>
        <w:rPr>
          <w:rFonts w:ascii="Arial" w:cs="Arial" w:eastAsia="Arial" w:hAnsi="Arial"/>
          <w:sz w:val="18"/>
          <w:szCs w:val="18"/>
          <w:color w:val="auto"/>
        </w:rPr>
        <w:t>The FDA continues to develop its approach to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We cannot be certain whether such guidance, or other guidance that the FDA may issue, will be relevant to or have an adversely impact on our gene therapy candidates or the duration or expense of any applicable regulatory development and review processes.</w:t>
      </w:r>
    </w:p>
    <w:p>
      <w:pPr>
        <w:spacing w:after="0" w:line="303" w:lineRule="exact"/>
        <w:rPr>
          <w:sz w:val="20"/>
          <w:szCs w:val="20"/>
          <w:color w:val="auto"/>
        </w:rPr>
      </w:pPr>
    </w:p>
    <w:p>
      <w:pPr>
        <w:jc w:val="both"/>
        <w:ind w:left="560" w:right="180"/>
        <w:spacing w:after="0" w:line="263"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6" w:lineRule="exact"/>
        <w:rPr>
          <w:sz w:val="20"/>
          <w:szCs w:val="20"/>
          <w:color w:val="auto"/>
        </w:rPr>
      </w:pPr>
    </w:p>
    <w:p>
      <w:pPr>
        <w:ind w:right="60" w:firstLine="546"/>
        <w:spacing w:after="0" w:line="269"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our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If additional clinical or long-term follow-up experience indicates that any of our product candidates have side effects or cause serious or life-threatening side effects, the development of the product candidate may fail or be delayed, or, if the product candidate has received regulatory approval, such approval may be revoked or limited.</w:t>
      </w:r>
    </w:p>
    <w:p>
      <w:pPr>
        <w:spacing w:after="0" w:line="182" w:lineRule="exact"/>
        <w:rPr>
          <w:sz w:val="20"/>
          <w:szCs w:val="20"/>
          <w:color w:val="auto"/>
        </w:rPr>
      </w:pPr>
    </w:p>
    <w:p>
      <w:pPr>
        <w:ind w:right="200" w:firstLine="546"/>
        <w:spacing w:after="0" w:line="273" w:lineRule="auto"/>
        <w:rPr>
          <w:sz w:val="20"/>
          <w:szCs w:val="20"/>
          <w:color w:val="auto"/>
        </w:rPr>
      </w:pPr>
      <w:r>
        <w:rPr>
          <w:rFonts w:ascii="Arial" w:cs="Arial" w:eastAsia="Arial" w:hAnsi="Arial"/>
          <w:sz w:val="17"/>
          <w:szCs w:val="17"/>
          <w:color w:val="auto"/>
        </w:rPr>
        <w:t>There have been several significant adverse side effects in gene therapy treatments in the past, including multiple reported cases of leukemia, myelodysplastic syndrome and death seen in other clinical trials. For example, in February 2021 a case of potential myelodysplastic syndrome and a separate case of acute myeloid leukemia were reported in a third party’s clinical trials of lentiviral gene therapy for the treatment of sickle cell disease. These safety events are currently under investigation, and while several factors have been posited as potential direct or contributing causes, including the use of busulfan in the conditioning process, no definitive conclusion has been made as of the date of this Annual Report on Form 10-K. Gene therapy is still a relatively new approach to disease treatment and additional adverse side effects could develop.</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spacing w:after="0" w:line="269" w:lineRule="auto"/>
        <w:rPr>
          <w:sz w:val="20"/>
          <w:szCs w:val="20"/>
          <w:color w:val="auto"/>
        </w:rPr>
      </w:pPr>
      <w:r>
        <w:rPr>
          <w:rFonts w:ascii="Arial" w:cs="Arial" w:eastAsia="Arial" w:hAnsi="Arial"/>
          <w:sz w:val="17"/>
          <w:szCs w:val="17"/>
          <w:color w:val="auto"/>
        </w:rPr>
        <w:t xml:space="preserve">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oncogenesis by the vectors, leading to malignant transformation of transduced cells. In addition, dominant clonal expansion due to vector integration has been observed in third-party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clinical trials, including one case of thalassemia and two cases of cerebral adrenoleukodystrophy. Although to date there have been no reports of malignant transformation in these patients, these cases and any similar cases will require further monitoring and follow-up. While our lentiviral gene therapy approach is designed to avoid immunogenicity against the vector after administration, there can be no assurance that patients would not create antibodies that may impair treatment. In addition, although we are investigating a plan to potentially implement molecular cytogenetic screening, there can be no assurance that we will successfully implement such screening procedures or that, if implemented, they will enhance the safety profile of our gene therapy product candidates. If any of our gene therapy product candidates demonstrates adverse side effects at unacceptable rates or degrees of severity, we may decide or be required to halt or delay clinical development of such product candidates.</w:t>
      </w:r>
    </w:p>
    <w:p>
      <w:pPr>
        <w:spacing w:after="0" w:line="182" w:lineRule="exact"/>
        <w:rPr>
          <w:sz w:val="20"/>
          <w:szCs w:val="20"/>
          <w:color w:val="auto"/>
        </w:rPr>
      </w:pPr>
    </w:p>
    <w:p>
      <w:pPr>
        <w:ind w:right="40" w:firstLine="546"/>
        <w:spacing w:after="0" w:line="275" w:lineRule="auto"/>
        <w:rPr>
          <w:sz w:val="20"/>
          <w:szCs w:val="20"/>
          <w:color w:val="auto"/>
        </w:rPr>
      </w:pPr>
      <w:r>
        <w:rPr>
          <w:rFonts w:ascii="Arial" w:cs="Arial" w:eastAsia="Arial" w:hAnsi="Arial"/>
          <w:sz w:val="17"/>
          <w:szCs w:val="17"/>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causes adverse side effects and transiently compromises the patient’s immune system, known as neutropenia, and ability to form blood clots, known as thrombocytopenia.</w:t>
      </w:r>
    </w:p>
    <w:p>
      <w:pPr>
        <w:spacing w:after="0" w:line="176" w:lineRule="exact"/>
        <w:rPr>
          <w:sz w:val="20"/>
          <w:szCs w:val="20"/>
          <w:color w:val="auto"/>
        </w:rPr>
      </w:pPr>
    </w:p>
    <w:p>
      <w:pPr>
        <w:ind w:right="20" w:firstLine="546"/>
        <w:spacing w:after="0" w:line="286" w:lineRule="auto"/>
        <w:rPr>
          <w:sz w:val="20"/>
          <w:szCs w:val="20"/>
          <w:color w:val="auto"/>
        </w:rPr>
      </w:pPr>
      <w:r>
        <w:rPr>
          <w:rFonts w:ascii="Arial" w:cs="Arial" w:eastAsia="Arial" w:hAnsi="Arial"/>
          <w:sz w:val="16"/>
          <w:szCs w:val="16"/>
          <w:color w:val="auto"/>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is designed to utilize a precision dosing program, TCI, to achieve a balance between the removal of a sufficient amount of bone marrow cells from a patient against potential risks such as toxicity or graft failure. While we believe that the conditioning regimen could be performed during a limited hospital stay, we cannot guarantee that the conditioning will not require a lengthier hospitalization. Our conditioning regimens may not be successful or may nevertheless result in adverse side effects. For example, in each of our ongoing clinical trials several adverse events, including suppression of neutrophils and platelet counts following the conditioning process, were observed. While such adverse events in connection with conditioning is expected, if in the future any such adverse events caused by the conditioning process or related procedures continue at unacceptable rates or degrees of severity, the FDA or other foreign regulatory authorities could order us to cease development of, or deny approval of, our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Although we are investigating a plan to potentially implement molecular cytogenetic screening as an additional risk reduction measure, there can be no guarantees that these procedures, if implemented, would be successful. Even if we are able to demonstrate that adverse events are not product-related, such occurrences could adversely affect patient recruitment or the ability of enrolled patients to complete the clinical trial.</w:t>
      </w:r>
    </w:p>
    <w:p>
      <w:pPr>
        <w:spacing w:after="0" w:line="171" w:lineRule="exact"/>
        <w:rPr>
          <w:sz w:val="20"/>
          <w:szCs w:val="20"/>
          <w:color w:val="auto"/>
        </w:rPr>
      </w:pPr>
    </w:p>
    <w:p>
      <w:pPr>
        <w:ind w:right="320" w:firstLine="546"/>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our product candidates, several potentially significant negative consequences could result, including:</w:t>
      </w:r>
    </w:p>
    <w:p>
      <w:pPr>
        <w:spacing w:after="0" w:line="80" w:lineRule="exact"/>
        <w:rPr>
          <w:sz w:val="20"/>
          <w:szCs w:val="20"/>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additional or boxed warnings on the label;</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lead to a drop in our stock price, and significantly harm our business, prospects, financial condition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left="560"/>
        <w:spacing w:after="0"/>
        <w:rPr>
          <w:sz w:val="20"/>
          <w:szCs w:val="20"/>
          <w:color w:val="auto"/>
        </w:rPr>
      </w:pPr>
      <w:r>
        <w:rPr>
          <w:rFonts w:ascii="Arial" w:cs="Arial" w:eastAsia="Arial" w:hAnsi="Arial"/>
          <w:sz w:val="18"/>
          <w:szCs w:val="18"/>
          <w:b w:val="1"/>
          <w:bCs w:val="1"/>
          <w:i w:val="1"/>
          <w:iCs w:val="1"/>
          <w:color w:val="auto"/>
        </w:rPr>
        <w:t>We have never completed a pivotal clinical trial, and may be unable to do so for any product candidates we may develop.</w:t>
      </w:r>
    </w:p>
    <w:p>
      <w:pPr>
        <w:spacing w:after="0" w:line="117"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We are at an early stage of development for all of our product candidates. As of March 1, 2021, we have dosed only 14 patients across four ongoing clinical trials. These ongoing clinical trials, as well as potentially additional pivotal clinical trials, must be completed in order to obtain FDA approval to market these product candidates. We have limited experience in preparing, submitting and prosecuting regulatory filings, and have not previously submitted a biologics license application, or BLA, for any product candidate.</w:t>
      </w:r>
    </w:p>
    <w:p>
      <w:pPr>
        <w:spacing w:after="0" w:line="187"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Carrying out later-stage clinical trials is a complicated and lengthy process, and we do not expect that all data from patients participating in the clinical trials will be relevant or meaningful. For example, the primary efficacy endpoint of our Phase 2 clinical trial of AVR-RD-01, which we refer to as the FAB-GT clinical trial, is the change, from baseline to one year post-treatment with AVR-RD-01, in the average number of Gb3 inclusions per PTC, as measured in a patient kidney biopsy. The second patient in the FAB-GT trial has an N215S genotype, which is associated with a late-onset cardiac variant phenotype and lower plasma lyso-Gb3 levels. This patient’s cardiac variant phenotype does not typically result in Gb3 accumulation in the kidney and skin, and accordingly we do not expect that data obtained from this patient will have a meaningful impact on certain efficacy endpoints in our FAB-GT clinical trial, including kidney and skin biopsies. Nonetheless, there may be other important insights derived from data collected from this patient in the FAB-GT clinical trial. In addition, although a kidney biopsy was performed on the third patient in the FAB-GT clinical trial, as a result of human error in processing the biopsy sample at the external laboratory vendor, the kidney Gb3 inclusions could not be evaluated and will not be available. However, we expect to continue collecting other data from the third patient, including measures of kidney function such as estimated glomerular filtration rate and measured glomerular filtration rate.</w:t>
      </w:r>
    </w:p>
    <w:p>
      <w:pPr>
        <w:spacing w:after="0" w:line="182"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In addition, we have not yet conducted any company-sponsored clinical trials of any of our product candidates in the United States, and our interactions with the FDA have generally been limited. We cannot be certain how many additional clinical trials of AVR-RD-01, AVR-RD-04, AVR-RD-02 or any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While we have received clearance from the FDA to commence clinical testing in the United States for AVR-RD-01 and AVR-RD-02, and the sponsor of the investigator-led clinical trial for AVR-RD-04 has received the same,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any of our product candidates.</w:t>
      </w:r>
    </w:p>
    <w:p>
      <w:pPr>
        <w:spacing w:after="0" w:line="179"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and the ongoing Phase 1/2 clinical trial of AVR-RD-04 is also an investigator-sponsored clinical trial, which is being conducted by our collaborators at the University of California, San Diego. In addition, the planned Phase 1/2 clinical trial of AVR-RD-05 will be an investigator-sponsored trial conducted by our collaborators at The University of Manchester.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Results from preclinical studies or early clinical trials are not necessarily predictive of future clinical trial results and are not necessarily indicative of final results. For example, there can be no assurance that prior results, such as signals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spacing w:after="0" w:line="285" w:lineRule="auto"/>
        <w:rPr>
          <w:sz w:val="20"/>
          <w:szCs w:val="20"/>
          <w:color w:val="auto"/>
        </w:rPr>
      </w:pPr>
      <w:r>
        <w:rPr>
          <w:rFonts w:ascii="Arial" w:cs="Arial" w:eastAsia="Arial" w:hAnsi="Arial"/>
          <w:sz w:val="16"/>
          <w:szCs w:val="16"/>
          <w:color w:val="auto"/>
        </w:rPr>
        <w:t>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Although we plan to meet with the FDA in the first quarter of 2021 to discuss our regulatory strategy and a potential accelerated approval pathway for AVR-RD-01, to date we have not received definitive guidance from the FDA or other foreign regulatory bodies regarding the necessary endpoints for approval of any of our product candidates. While we are aware that the FDA utilized an efficacy endpoint based on patients’ kidney biopsy in the recent approval of Migalastat for Fabry disease, for which we are also measuring as our primary efficacy endpoint in our ongoing Phase 2 FAB-GT clinical trial of AVR-RD-01, there can be no guarantees that regulatory agencies will permit us to use the same endpoint in connection with further development of AVR-RD-01. Therefore,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Any of our current or future product candidates may fail to show the desired safety and efficacy in clinical development despite positive results in preclinical studies. Any such failure would cause us to abandon the product candidate.</w:t>
      </w:r>
    </w:p>
    <w:p>
      <w:pPr>
        <w:spacing w:after="0" w:line="17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Because our clinical trials are ongoing, the data that we report are preliminary and subject to change. As is typical in open-label studies in which interim reports are provided, the safety and efficacy data are regularly reviewed and validated. As a result, certain data may change over time, including reductions or increases in the number of reported safety events, until the database is locked at the end of the study.</w:t>
      </w:r>
    </w:p>
    <w:p>
      <w:pPr>
        <w:spacing w:after="0" w:line="287" w:lineRule="exact"/>
        <w:rPr>
          <w:sz w:val="20"/>
          <w:szCs w:val="20"/>
          <w:color w:val="auto"/>
        </w:rPr>
      </w:pPr>
    </w:p>
    <w:p>
      <w:pPr>
        <w:ind w:left="560" w:right="54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Although we hope to have dosed an aggregate of 30 patients across all our clinical programs by the end of 2021, there can be no assurance we will achieve that goal. The timing and success of our patient enrollment and clinical trial activities depend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such as the recent announcement from a lentiviral gene therapy company regarding potential cases of myelodysplastic syndrome and acute myeloid leukemia in its clinical trials for sickle cell disease,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including as a result of the ongoing COVID-19 pandemic, which could result in increased costs, delays in advancing our product candidates, delays in testing the effectiveness of our product candidates or termination of the clinical trials altogether. For example, as a result of the COVID-19 pandemic, patient enrollment and dosing was temporarily paused in our ongoing clinical trials and certain data collection has been delayed. While patient enrollment and dosing activities have begun to resume, there could be additional pauses in the future as a result of the COVID-19 pandemic or other factors.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6" w:name="page57"/>
    <w:bookmarkEnd w:id="56"/>
    <w:p>
      <w:pPr>
        <w:ind w:right="40" w:firstLine="546"/>
        <w:spacing w:after="0" w:line="255"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Phase 1/2 clinical trial of AVR-RD-02 for Gaucher disease, which we refer to as the Guard1 clinical trial. While a number of patients had been identified for the Guard1 clinical trial, we encountered patient pre-screening failures that impacted the commencement of enrollment.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Patient enrollment and trial completion is affected by factors including the:</w:t>
      </w:r>
    </w:p>
    <w:p>
      <w:pPr>
        <w:spacing w:after="0" w:line="117" w:lineRule="exact"/>
        <w:rPr>
          <w:sz w:val="20"/>
          <w:szCs w:val="20"/>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ability to enroll patients and conduct studies as a result of the ongoing COVID-19 pandemic;</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960" w:right="420" w:hanging="412"/>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ind w:right="200" w:firstLine="546"/>
        <w:spacing w:after="0" w:line="253" w:lineRule="auto"/>
        <w:rPr>
          <w:sz w:val="20"/>
          <w:szCs w:val="20"/>
          <w:color w:val="auto"/>
        </w:rPr>
      </w:pPr>
      <w:r>
        <w:rPr>
          <w:rFonts w:ascii="Arial" w:cs="Arial" w:eastAsia="Arial" w:hAnsi="Arial"/>
          <w:sz w:val="18"/>
          <w:szCs w:val="18"/>
          <w:color w:val="auto"/>
        </w:rPr>
        <w:t>We are expanding our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We have encountered and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 In 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w:t>
      </w:r>
    </w:p>
    <w:p>
      <w:pPr>
        <w:spacing w:after="0" w:line="196"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63" w:lineRule="exact"/>
        <w:rPr>
          <w:sz w:val="20"/>
          <w:szCs w:val="20"/>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960" w:right="200" w:hanging="412"/>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jc w:val="both"/>
        <w:ind w:right="420" w:firstLine="546"/>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right="100" w:firstLine="546"/>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63" w:lineRule="exact"/>
        <w:rPr>
          <w:sz w:val="20"/>
          <w:szCs w:val="20"/>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as a result of the ongoing COVID-19 pandemic;</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study site;</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for our FAB-GT clinical trial of AVR-RD-01, we have transitioned our lentiviral vectors to an LV2 version in connection with our plato platform implementation.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FAB-GT clinical study of AVR-RD-01 for Fabry disease in the United States, which was cleared by the FDA in April 2019, included data to demonstrate comparability between LV1 and LV2 and a transition to an automated manufacturing platform. In addition, our CTA (including amendments) and IND for our Guard1 clinical study of AVR-RD-02 for Gaucher disease in Canada and the United States, for which Health Canada has issued no objection letters and the FDA has cleared, respectively, included data utilizing LV2 and our automated manufacturing platform. While these applications included data relating to our LV2 lentiviral vector and our automated manufacturing process, which are elements of our plato platform, and allow us to commence clinical trials incorporating such elements, there can be no assurance that the FDA, Health Canada or other regulatory authorities will not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120"/>
        <w:spacing w:after="0" w:line="272" w:lineRule="auto"/>
        <w:rPr>
          <w:sz w:val="20"/>
          <w:szCs w:val="20"/>
          <w:color w:val="auto"/>
        </w:rPr>
      </w:pPr>
      <w:r>
        <w:rPr>
          <w:rFonts w:ascii="Arial" w:cs="Arial" w:eastAsia="Arial" w:hAnsi="Arial"/>
          <w:sz w:val="17"/>
          <w:szCs w:val="17"/>
          <w:color w:val="auto"/>
        </w:rPr>
        <w:t>to the plans or the timelines that we have envisioned. For example, the Phase 1/2 investigator-sponsored clinical study of AVR-RD-04 for cystinosis in the United States, which has been cleared by the FDA, does not include our LV2 lentiviral vector or our automated manufacturing platform, and we anticipate that we will be required to submit comparability data in future regulatory filings relating to our transition to LV2 and the automated manufacturing platform.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w:t>
      </w:r>
    </w:p>
    <w:p>
      <w:pPr>
        <w:spacing w:after="0" w:line="103" w:lineRule="exact"/>
        <w:rPr>
          <w:sz w:val="20"/>
          <w:szCs w:val="20"/>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REMS;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740" w:firstLine="54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8" w:lineRule="exact"/>
        <w:rPr>
          <w:sz w:val="20"/>
          <w:szCs w:val="20"/>
          <w:color w:val="auto"/>
        </w:rPr>
      </w:pPr>
    </w:p>
    <w:p>
      <w:pPr>
        <w:ind w:left="560" w:right="88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38" w:lineRule="exact"/>
        <w:rPr>
          <w:sz w:val="20"/>
          <w:szCs w:val="20"/>
          <w:color w:val="auto"/>
        </w:rPr>
      </w:pPr>
    </w:p>
    <w:p>
      <w:pPr>
        <w:ind w:right="40" w:firstLine="546"/>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289" w:lineRule="exact"/>
        <w:rPr>
          <w:sz w:val="20"/>
          <w:szCs w:val="20"/>
          <w:color w:val="auto"/>
        </w:rPr>
      </w:pPr>
    </w:p>
    <w:p>
      <w:pPr>
        <w:ind w:right="440" w:firstLine="546"/>
        <w:spacing w:after="0" w:line="277" w:lineRule="auto"/>
        <w:rPr>
          <w:sz w:val="20"/>
          <w:szCs w:val="20"/>
          <w:color w:val="auto"/>
        </w:rPr>
      </w:pPr>
      <w:r>
        <w:rPr>
          <w:rFonts w:ascii="Arial" w:cs="Arial" w:eastAsia="Arial" w:hAnsi="Arial"/>
          <w:sz w:val="18"/>
          <w:szCs w:val="18"/>
          <w:b w:val="1"/>
          <w:bCs w:val="1"/>
          <w:i w:val="1"/>
          <w:iCs w:val="1"/>
          <w:color w:val="auto"/>
        </w:rPr>
        <w:t>Only certain of our clinical trials, including the Phase 2 FAB-GT clinical trial of AVR-RD-01 for Fabry disease and the Phase 1/2 Guard1 clinical trial of AVR-RD-02 for Gaucher disease type 1, utilize our commercial-scale plato platform.</w:t>
      </w:r>
    </w:p>
    <w:p>
      <w:pPr>
        <w:spacing w:after="0" w:line="62"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While we have submitted and intend to continue to submit comparability studies to the FDA and other regulatory agencies, as needed, with respect to our implementation of our commercial-scale plato platform in these and future clinical trials sponsored by us, there can be no assurance that the FDA or other regulatory agencies will not in the future require us to conduct additional preclinical studies or clinical trials that could result in delays and additional costs in our development or commercialization programs for our product candidates, which could adversely affect our business. We intend to continue implementing our commercial-scale plato platform, including heightened vector efficiency, our closed, automated manufacturing system and utilization of a TCI conditioning regimen with busulfan, in connection with each of our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40"/>
        <w:spacing w:after="0" w:line="291" w:lineRule="auto"/>
        <w:rPr>
          <w:sz w:val="20"/>
          <w:szCs w:val="20"/>
          <w:color w:val="auto"/>
        </w:rPr>
      </w:pPr>
      <w:r>
        <w:rPr>
          <w:rFonts w:ascii="Arial" w:cs="Arial" w:eastAsia="Arial" w:hAnsi="Arial"/>
          <w:sz w:val="16"/>
          <w:szCs w:val="16"/>
          <w:color w:val="auto"/>
        </w:rPr>
        <w:t>investigational product candidates. We have developed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 In order to implement this transition, we have been and will be required to conduct additional studies to bridge our modified product candidates to earlier versions, which could delay our clinical development plans or marketing approvals, if any.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274" w:lineRule="exact"/>
        <w:rPr>
          <w:sz w:val="20"/>
          <w:szCs w:val="20"/>
          <w:color w:val="auto"/>
        </w:rPr>
      </w:pPr>
    </w:p>
    <w:p>
      <w:pPr>
        <w:ind w:left="560" w:right="40"/>
        <w:spacing w:after="0" w:line="311" w:lineRule="auto"/>
        <w:rPr>
          <w:sz w:val="20"/>
          <w:szCs w:val="20"/>
          <w:color w:val="auto"/>
        </w:rPr>
      </w:pPr>
      <w:r>
        <w:rPr>
          <w:rFonts w:ascii="Arial" w:cs="Arial" w:eastAsia="Arial" w:hAnsi="Arial"/>
          <w:sz w:val="16"/>
          <w:szCs w:val="16"/>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41"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61"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We anticipate competing with the largest pharmaceutical companies in the world. For example, Sanofi Genzyme and Shire, acquired by Takeda Pharmaceutical Company Ltd., market the enzyme replacement therapies, or ERTs, that represent the standard of care for Fabry patients. Amicus has secured regulatory approval in the United States and Europe for Migalastat, its oral chaperone therapy for Fabry disease. In addition, in August 2020, Protalix BioTherapeutics, together with Chiesi Global Rare Diseases, announced that the FDA had accepted a BLA and granted priority review designation for pegunigalsidase alfa, their investigational product candidate for Fabry disease. For Gaucher disease, we expect to compete with existing enzyme replacement therapies marketed by Sanofi Genzyme, Shire, Protalix and Pfizer, as well as oral therapies marketed by Actelion and Sanofi. Sanofi also markets an enzyme replacement therapy for Pompe disease, and Shire markets an enzyme replacement therapy for Hunter syndrome. Cystinosis is currently treated by therapies marketed by Horizon Orphan, Mylan, Chiesi, Recordati and Sigma Tau Pharmaceuticals, and Eloxx Pharmaceuticals has been advancing a new treatment in clinical trials, though in March 2020 it announced that its Phase 2 study of the new treatment has been discontinued. In addition, we may compete with other gene therapy companies in our industry such as bluebird bio and Spark Therapeutics (which was acquired by Roche in 2019). In particular, a number of gene therapy companies have announced preclinical or clinical non-viral and adeno-associated viral based gene therapy programs that, if successful in obtaining regulatory approval, could compete with our gene therapies.</w:t>
      </w:r>
    </w:p>
    <w:p>
      <w:pPr>
        <w:spacing w:after="0" w:line="168" w:lineRule="exact"/>
        <w:rPr>
          <w:sz w:val="20"/>
          <w:szCs w:val="20"/>
          <w:color w:val="auto"/>
        </w:rPr>
      </w:pPr>
    </w:p>
    <w:p>
      <w:pPr>
        <w:jc w:val="both"/>
        <w:ind w:right="120" w:firstLine="546"/>
        <w:spacing w:after="0" w:line="287"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78" w:lineRule="exact"/>
        <w:rPr>
          <w:sz w:val="20"/>
          <w:szCs w:val="20"/>
          <w:color w:val="auto"/>
        </w:rPr>
      </w:pPr>
    </w:p>
    <w:p>
      <w:pPr>
        <w:ind w:right="80" w:firstLine="546"/>
        <w:spacing w:after="0" w:line="279" w:lineRule="auto"/>
        <w:rPr>
          <w:sz w:val="20"/>
          <w:szCs w:val="20"/>
          <w:color w:val="auto"/>
        </w:rPr>
      </w:pPr>
      <w:r>
        <w:rPr>
          <w:rFonts w:ascii="Arial" w:cs="Arial" w:eastAsia="Arial" w:hAnsi="Arial"/>
          <w:sz w:val="17"/>
          <w:szCs w:val="17"/>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left="560" w:right="80"/>
        <w:spacing w:after="0" w:line="279" w:lineRule="auto"/>
        <w:rPr>
          <w:sz w:val="20"/>
          <w:szCs w:val="20"/>
          <w:color w:val="auto"/>
        </w:rPr>
      </w:pPr>
      <w:r>
        <w:rPr>
          <w:rFonts w:ascii="Arial" w:cs="Arial" w:eastAsia="Arial" w:hAnsi="Arial"/>
          <w:sz w:val="17"/>
          <w:szCs w:val="17"/>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63" w:lineRule="exact"/>
        <w:rPr>
          <w:sz w:val="20"/>
          <w:szCs w:val="20"/>
          <w:color w:val="auto"/>
        </w:rPr>
      </w:pPr>
    </w:p>
    <w:p>
      <w:pPr>
        <w:ind w:right="160" w:firstLine="546"/>
        <w:spacing w:after="0" w:line="273"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78" w:lineRule="exact"/>
        <w:rPr>
          <w:sz w:val="20"/>
          <w:szCs w:val="20"/>
          <w:color w:val="auto"/>
        </w:rPr>
      </w:pPr>
    </w:p>
    <w:p>
      <w:pPr>
        <w:jc w:val="both"/>
        <w:ind w:right="240" w:firstLine="546"/>
        <w:spacing w:after="0" w:line="259" w:lineRule="auto"/>
        <w:rPr>
          <w:sz w:val="20"/>
          <w:szCs w:val="20"/>
          <w:color w:val="auto"/>
        </w:rPr>
      </w:pPr>
      <w:r>
        <w:rPr>
          <w:rFonts w:ascii="Arial" w:cs="Arial" w:eastAsia="Arial" w:hAnsi="Arial"/>
          <w:sz w:val="18"/>
          <w:szCs w:val="18"/>
          <w:color w:val="auto"/>
        </w:rPr>
        <w:t>For example, we have submitted a briefing book to the FDA outlining our proposal for a potential accelerated approval strategy for AVR-RD-01, and we currently expect to meet with the FDA in the first quarter of 2021 to discuss our proposed strategy. The outcome of our meeting with the FDA is highly uncertain at this time, and there can be no assurances that the FDA will agree to our proposals or provide any accelerated regulatory pathway for AVR-RD-01.</w:t>
      </w:r>
    </w:p>
    <w:p>
      <w:pPr>
        <w:spacing w:after="0" w:line="187" w:lineRule="exact"/>
        <w:rPr>
          <w:sz w:val="20"/>
          <w:szCs w:val="20"/>
          <w:color w:val="auto"/>
        </w:rPr>
      </w:pPr>
    </w:p>
    <w:p>
      <w:pPr>
        <w:ind w:right="100" w:firstLine="546"/>
        <w:spacing w:after="0" w:line="269" w:lineRule="auto"/>
        <w:rPr>
          <w:sz w:val="20"/>
          <w:szCs w:val="20"/>
          <w:color w:val="auto"/>
        </w:rPr>
      </w:pPr>
      <w:r>
        <w:rPr>
          <w:rFonts w:ascii="Arial" w:cs="Arial" w:eastAsia="Arial" w:hAnsi="Arial"/>
          <w:sz w:val="17"/>
          <w:szCs w:val="17"/>
          <w:color w:val="auto"/>
        </w:rPr>
        <w:t>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79"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95"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1" w:name="page62"/>
    <w:bookmarkEnd w:id="61"/>
    <w:p>
      <w:pPr>
        <w:ind w:right="200"/>
        <w:spacing w:after="0" w:line="263" w:lineRule="auto"/>
        <w:rPr>
          <w:sz w:val="20"/>
          <w:szCs w:val="20"/>
          <w:color w:val="auto"/>
        </w:rPr>
      </w:pPr>
      <w:r>
        <w:rPr>
          <w:rFonts w:ascii="Arial" w:cs="Arial" w:eastAsia="Arial" w:hAnsi="Arial"/>
          <w:sz w:val="18"/>
          <w:szCs w:val="18"/>
          <w:color w:val="auto"/>
        </w:rPr>
        <w:t>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184"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ongoing Phase 2 FAB-GT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0" w:lineRule="exact"/>
        <w:rPr>
          <w:sz w:val="20"/>
          <w:szCs w:val="20"/>
          <w:color w:val="auto"/>
        </w:rPr>
      </w:pPr>
    </w:p>
    <w:p>
      <w:pPr>
        <w:ind w:left="560" w:right="6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6" w:lineRule="exact"/>
        <w:rPr>
          <w:sz w:val="20"/>
          <w:szCs w:val="20"/>
          <w:color w:val="auto"/>
        </w:rPr>
      </w:pPr>
    </w:p>
    <w:p>
      <w:pPr>
        <w:ind w:right="20" w:firstLine="546"/>
        <w:spacing w:after="0" w:line="253"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94"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In December 2018, October 2019 and March 2020, the FDA granted our requests for orphan drug designation for AVR-RD-01 for the treatment of Fabry disease, AVR-RD-02 for the treatment of Gaucher disease and AVR-RD-04 for the treatment of cystinosis, respectively. In September 2020, October 2020 and March 2021 we announced that the European Commission granted our request for orphan drug designation for AVR-RD-02 for the treatment of Gaucher disease, AVR-RD-01 for the treatment of Fabry disease, and AVR-RD-04 for the treatment of cystinosis, respectively. If we request orphan drug designation (or the foreign equivalent) for any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1" w:lineRule="exact"/>
        <w:rPr>
          <w:sz w:val="20"/>
          <w:szCs w:val="20"/>
          <w:color w:val="auto"/>
        </w:rPr>
      </w:pPr>
    </w:p>
    <w:p>
      <w:pPr>
        <w:ind w:right="80" w:firstLine="546"/>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1"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2" w:name="page63"/>
    <w:bookmarkEnd w:id="62"/>
    <w:p>
      <w:pPr>
        <w:ind w:right="360"/>
        <w:spacing w:after="0" w:line="277" w:lineRule="auto"/>
        <w:rPr>
          <w:sz w:val="20"/>
          <w:szCs w:val="20"/>
          <w:color w:val="auto"/>
        </w:rPr>
      </w:pPr>
      <w:r>
        <w:rPr>
          <w:rFonts w:ascii="Arial" w:cs="Arial" w:eastAsia="Arial" w:hAnsi="Arial"/>
          <w:sz w:val="18"/>
          <w:szCs w:val="18"/>
          <w:color w:val="auto"/>
        </w:rPr>
        <w:t>makes a major contribution to patient care. In the European Union, marketing authorization may be granted to a similar medicinal product for the same orphan indication if:</w:t>
      </w:r>
    </w:p>
    <w:p>
      <w:pPr>
        <w:spacing w:after="0" w:line="62" w:lineRule="exact"/>
        <w:rPr>
          <w:sz w:val="20"/>
          <w:szCs w:val="20"/>
          <w:color w:val="auto"/>
        </w:rPr>
      </w:pPr>
    </w:p>
    <w:p>
      <w:pPr>
        <w:ind w:left="960" w:right="540" w:hanging="41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960" w:hanging="41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960" w:right="300" w:hanging="41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6"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authority may:</w:t>
      </w:r>
    </w:p>
    <w:p>
      <w:pPr>
        <w:spacing w:after="0" w:line="129" w:lineRule="exact"/>
        <w:rPr>
          <w:sz w:val="20"/>
          <w:szCs w:val="20"/>
          <w:color w:val="auto"/>
        </w:rPr>
      </w:pPr>
    </w:p>
    <w:p>
      <w:pPr>
        <w:ind w:left="960" w:hanging="41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960" w:right="200" w:hanging="412"/>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right="80" w:firstLine="546"/>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6"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right="40" w:firstLine="546"/>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candidates.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our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66"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4" w:lineRule="exact"/>
        <w:rPr>
          <w:sz w:val="20"/>
          <w:szCs w:val="20"/>
          <w:color w:val="auto"/>
        </w:rPr>
      </w:pPr>
    </w:p>
    <w:p>
      <w:pPr>
        <w:ind w:right="20" w:firstLine="546"/>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Accordingly, our focus on treating these diseases may not result in the development of commercially viable products.</w:t>
      </w:r>
    </w:p>
    <w:p>
      <w:pPr>
        <w:spacing w:after="0" w:line="171" w:lineRule="exact"/>
        <w:rPr>
          <w:sz w:val="20"/>
          <w:szCs w:val="20"/>
          <w:color w:val="auto"/>
        </w:rPr>
      </w:pPr>
    </w:p>
    <w:p>
      <w:pPr>
        <w:ind w:right="560" w:firstLine="546"/>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left="560" w:right="80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right="260" w:firstLine="546"/>
        <w:spacing w:after="0" w:line="286" w:lineRule="auto"/>
        <w:rPr>
          <w:sz w:val="20"/>
          <w:szCs w:val="20"/>
          <w:color w:val="auto"/>
        </w:rPr>
      </w:pPr>
      <w:r>
        <w:rPr>
          <w:rFonts w:ascii="Arial" w:cs="Arial" w:eastAsia="Arial" w:hAnsi="Arial"/>
          <w:sz w:val="17"/>
          <w:szCs w:val="17"/>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65" w:lineRule="exact"/>
        <w:rPr>
          <w:sz w:val="20"/>
          <w:szCs w:val="20"/>
          <w:color w:val="auto"/>
        </w:rPr>
      </w:pPr>
    </w:p>
    <w:p>
      <w:pPr>
        <w:ind w:right="60" w:firstLine="546"/>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ind w:firstLine="546"/>
        <w:spacing w:after="0" w:line="273" w:lineRule="auto"/>
        <w:rPr>
          <w:sz w:val="20"/>
          <w:szCs w:val="20"/>
          <w:color w:val="auto"/>
        </w:rPr>
      </w:pPr>
      <w:r>
        <w:rPr>
          <w:rFonts w:ascii="Arial" w:cs="Arial" w:eastAsia="Arial" w:hAnsi="Arial"/>
          <w:sz w:val="17"/>
          <w:szCs w:val="17"/>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560" w:right="56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38" w:lineRule="exact"/>
        <w:rPr>
          <w:sz w:val="20"/>
          <w:szCs w:val="20"/>
          <w:color w:val="auto"/>
        </w:rPr>
      </w:pPr>
    </w:p>
    <w:p>
      <w:pPr>
        <w:ind w:right="140" w:firstLine="546"/>
        <w:spacing w:after="0" w:line="263"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have moved our cell processing to an automated, closed system with a single third-party supplier.</w:t>
      </w:r>
    </w:p>
    <w:p>
      <w:pPr>
        <w:spacing w:after="0" w:line="184"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8" w:lineRule="exact"/>
        <w:rPr>
          <w:sz w:val="20"/>
          <w:szCs w:val="20"/>
          <w:color w:val="auto"/>
        </w:rPr>
      </w:pPr>
    </w:p>
    <w:p>
      <w:pPr>
        <w:ind w:right="60" w:firstLine="546"/>
        <w:spacing w:after="0" w:line="269" w:lineRule="auto"/>
        <w:rPr>
          <w:sz w:val="20"/>
          <w:szCs w:val="20"/>
          <w:color w:val="auto"/>
        </w:rPr>
      </w:pPr>
      <w:r>
        <w:rPr>
          <w:rFonts w:ascii="Arial" w:cs="Arial" w:eastAsia="Arial" w:hAnsi="Arial"/>
          <w:sz w:val="17"/>
          <w:szCs w:val="17"/>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Guard1 clinical trial of AVR-RD-02 for Gaucher disease. While a number of interested patients had been identified for the Guard1 clinical trial, we encountered patient pre-screening failures that impacted the commencement of enrollment in these studies. In 2020, a kidney biopsy was conducted on the third patient in the FAB-GT clinical trial of AVR-RD-01, but due to human error in processing the biopsy sample at the external laboratory vendor, the kidney Gb3 inclusions could not be evaluated and will not be available. Although our quality assurance personnel have worked closely with the external vendor to identify the cause of the vendor error and to identify additional protocols for implementation by the vendor that are designed to prevent similar errors in the future, there can be no assurances that such protocols will be successfully implemented by the vendor.</w:t>
      </w:r>
    </w:p>
    <w:p>
      <w:pPr>
        <w:spacing w:after="0" w:line="179" w:lineRule="exact"/>
        <w:rPr>
          <w:sz w:val="20"/>
          <w:szCs w:val="20"/>
          <w:color w:val="auto"/>
        </w:rPr>
      </w:pPr>
    </w:p>
    <w:p>
      <w:pPr>
        <w:ind w:right="660" w:firstLine="546"/>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62" w:lineRule="exact"/>
        <w:rPr>
          <w:sz w:val="20"/>
          <w:szCs w:val="20"/>
          <w:color w:val="auto"/>
        </w:rPr>
      </w:pPr>
    </w:p>
    <w:p>
      <w:pPr>
        <w:ind w:left="960" w:hanging="41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960" w:right="520" w:hanging="412"/>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impact of the ongoing COVID-19 pandemic or the bankruptcy of the manufacturer or supplier.</w:t>
      </w:r>
    </w:p>
    <w:p>
      <w:pPr>
        <w:spacing w:after="0" w:line="170" w:lineRule="exact"/>
        <w:rPr>
          <w:sz w:val="20"/>
          <w:szCs w:val="20"/>
          <w:color w:val="auto"/>
        </w:rPr>
      </w:pPr>
    </w:p>
    <w:p>
      <w:pPr>
        <w:ind w:right="80" w:firstLine="546"/>
        <w:spacing w:after="0" w:line="263"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5" w:name="page66"/>
    <w:bookmarkEnd w:id="65"/>
    <w:p>
      <w:pPr>
        <w:ind w:left="560"/>
        <w:spacing w:after="0"/>
        <w:rPr>
          <w:sz w:val="20"/>
          <w:szCs w:val="20"/>
          <w:color w:val="auto"/>
        </w:rPr>
      </w:pPr>
      <w:r>
        <w:rPr>
          <w:rFonts w:ascii="Arial" w:cs="Arial" w:eastAsia="Arial" w:hAnsi="Arial"/>
          <w:sz w:val="17"/>
          <w:szCs w:val="17"/>
          <w:b w:val="1"/>
          <w:bCs w:val="1"/>
          <w:i w:val="1"/>
          <w:iCs w:val="1"/>
          <w:color w:val="auto"/>
        </w:rPr>
        <w:t>We are dependent on a limited number of suppliers for some of our components and materials used in our product candidates.</w:t>
      </w:r>
    </w:p>
    <w:p>
      <w:pPr>
        <w:spacing w:after="0" w:line="129" w:lineRule="exact"/>
        <w:rPr>
          <w:sz w:val="20"/>
          <w:szCs w:val="20"/>
          <w:color w:val="auto"/>
        </w:rPr>
      </w:pPr>
    </w:p>
    <w:p>
      <w:pPr>
        <w:ind w:right="80" w:firstLine="546"/>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65"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If we are required to switch to a replacement supplier or manufacture materials ourselves, the manufacture and delivery of our product candidates could be interrupted for an extended period, adversely affecting our business. Establishing additional or replacement suppliers may not be accomplished quickly, and we may not be able to enter agreements with replacement suppliers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If we are able to find a replacement supplier, the replacement supplier would need to be qualified and may require additional regulatory authority approval, which could result in further delay. For example, the FDA could require additional supplemental bridging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68" w:lineRule="exact"/>
        <w:rPr>
          <w:sz w:val="20"/>
          <w:szCs w:val="20"/>
          <w:color w:val="auto"/>
        </w:rPr>
      </w:pPr>
    </w:p>
    <w:p>
      <w:pPr>
        <w:ind w:right="160" w:firstLine="546"/>
        <w:spacing w:after="0" w:line="263"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4"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62" w:lineRule="exact"/>
        <w:rPr>
          <w:sz w:val="20"/>
          <w:szCs w:val="20"/>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production, supply, shipment or delivery as a result of the ongoing COVID-19 pandemic;</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production delays related to the evaluation and testing of products from alternative suppliers, and corresponding regulatory qualifications;</w:t>
      </w:r>
    </w:p>
    <w:p>
      <w:pPr>
        <w:spacing w:after="0" w:line="140" w:lineRule="exact"/>
        <w:rPr>
          <w:rFonts w:ascii="Arial" w:cs="Arial" w:eastAsia="Arial" w:hAnsi="Arial"/>
          <w:sz w:val="16"/>
          <w:szCs w:val="16"/>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17" w:lineRule="exact"/>
        <w:rPr>
          <w:rFonts w:ascii="Arial" w:cs="Arial" w:eastAsia="Arial" w:hAnsi="Arial"/>
          <w:sz w:val="18"/>
          <w:szCs w:val="18"/>
          <w:color w:val="auto"/>
        </w:rPr>
      </w:pPr>
    </w:p>
    <w:p>
      <w:pPr>
        <w:ind w:left="960" w:right="300" w:hanging="41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 based upon defects in components produced by our suppliers;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ind w:right="340" w:firstLine="546"/>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8" w:lineRule="exact"/>
        <w:rPr>
          <w:sz w:val="20"/>
          <w:szCs w:val="20"/>
          <w:color w:val="auto"/>
        </w:rPr>
      </w:pPr>
    </w:p>
    <w:p>
      <w:pPr>
        <w:ind w:left="560" w:right="540"/>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38"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84"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or if the FDA is unable to conduct such an inspection due to the COVID-19 pandemic, the FDA may issue a complete response letter or defer action on our applications, and approval of the products may be delayed or may not be granted.</w:t>
      </w:r>
    </w:p>
    <w:p>
      <w:pPr>
        <w:spacing w:after="0" w:line="182"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2" w:lineRule="exact"/>
        <w:rPr>
          <w:sz w:val="20"/>
          <w:szCs w:val="20"/>
          <w:color w:val="auto"/>
        </w:rPr>
      </w:pPr>
    </w:p>
    <w:p>
      <w:pPr>
        <w:ind w:right="140" w:firstLine="546"/>
        <w:spacing w:after="0" w:line="263"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4"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80" w:firstLine="546"/>
        <w:spacing w:after="0" w:line="301" w:lineRule="auto"/>
        <w:rPr>
          <w:sz w:val="20"/>
          <w:szCs w:val="20"/>
          <w:color w:val="auto"/>
        </w:rPr>
      </w:pPr>
      <w:r>
        <w:rPr>
          <w:rFonts w:ascii="Arial" w:cs="Arial" w:eastAsia="Arial" w:hAnsi="Arial"/>
          <w:sz w:val="16"/>
          <w:szCs w:val="16"/>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7" w:name="page68"/>
    <w:bookmarkEnd w:id="67"/>
    <w:p>
      <w:pPr>
        <w:ind w:right="220"/>
        <w:spacing w:after="0" w:line="277" w:lineRule="auto"/>
        <w:rPr>
          <w:sz w:val="20"/>
          <w:szCs w:val="20"/>
          <w:color w:val="auto"/>
        </w:rPr>
      </w:pPr>
      <w:r>
        <w:rPr>
          <w:rFonts w:ascii="Arial" w:cs="Arial" w:eastAsia="Arial" w:hAnsi="Arial"/>
          <w:sz w:val="18"/>
          <w:szCs w:val="18"/>
          <w:color w:val="auto"/>
        </w:rPr>
        <w:t>disclosing proprietary information. These agreements typically limit the rights of the third parties to use or disclose our confidential information, such as trade secrets.</w:t>
      </w:r>
    </w:p>
    <w:p>
      <w:pPr>
        <w:spacing w:after="0" w:line="170" w:lineRule="exact"/>
        <w:rPr>
          <w:sz w:val="20"/>
          <w:szCs w:val="20"/>
          <w:color w:val="auto"/>
        </w:rPr>
      </w:pPr>
    </w:p>
    <w:p>
      <w:pPr>
        <w:ind w:right="20" w:firstLine="546"/>
        <w:spacing w:after="0" w:line="301" w:lineRule="auto"/>
        <w:rPr>
          <w:sz w:val="20"/>
          <w:szCs w:val="20"/>
          <w:color w:val="auto"/>
        </w:rPr>
      </w:pPr>
      <w:r>
        <w:rPr>
          <w:rFonts w:ascii="Arial" w:cs="Arial" w:eastAsia="Arial" w:hAnsi="Arial"/>
          <w:sz w:val="16"/>
          <w:szCs w:val="16"/>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57" w:lineRule="exact"/>
        <w:rPr>
          <w:sz w:val="20"/>
          <w:szCs w:val="20"/>
          <w:color w:val="auto"/>
        </w:rPr>
      </w:pPr>
    </w:p>
    <w:p>
      <w:pPr>
        <w:ind w:right="200" w:firstLine="546"/>
        <w:spacing w:after="0" w:line="272"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our product candidates, we will be unable to generate any product revenue.</w:t>
      </w:r>
    </w:p>
    <w:p>
      <w:pPr>
        <w:spacing w:after="0" w:line="62"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We are in the preliminary stages of building our commercial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90"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We focus our research and product development on treatments for serious lysosomal disorders.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8" w:name="page69"/>
    <w:bookmarkEnd w:id="68"/>
    <w:p>
      <w:pPr>
        <w:ind w:left="560" w:right="12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80" w:lineRule="exact"/>
        <w:rPr>
          <w:sz w:val="20"/>
          <w:szCs w:val="20"/>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 including any similar generic treatments;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efficacy and safety as demonstrated in pivotal clinical trials and published in peer-reviewed journals;</w:t>
      </w:r>
    </w:p>
    <w:p>
      <w:pPr>
        <w:spacing w:after="0" w:line="117" w:lineRule="exact"/>
        <w:rPr>
          <w:rFonts w:ascii="Arial" w:cs="Arial" w:eastAsia="Arial" w:hAnsi="Arial"/>
          <w:sz w:val="18"/>
          <w:szCs w:val="18"/>
          <w:color w:val="auto"/>
        </w:rPr>
      </w:pPr>
    </w:p>
    <w:p>
      <w:pPr>
        <w:ind w:left="960" w:right="320" w:hanging="412"/>
        <w:spacing w:after="0" w:line="308" w:lineRule="auto"/>
        <w:tabs>
          <w:tab w:leader="none" w:pos="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spacing w:after="0" w:line="38" w:lineRule="exact"/>
        <w:rPr>
          <w:rFonts w:ascii="Arial" w:cs="Arial" w:eastAsia="Arial" w:hAnsi="Arial"/>
          <w:sz w:val="17"/>
          <w:szCs w:val="17"/>
          <w:color w:val="auto"/>
        </w:rPr>
      </w:pPr>
    </w:p>
    <w:p>
      <w:pPr>
        <w:ind w:left="960" w:hanging="412"/>
        <w:spacing w:after="0"/>
        <w:tabs>
          <w:tab w:leader="none" w:pos="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to offer the products for sale at competitive prices;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by the FDA or comparable regulatory agencies;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relative convenience and ease of dosing and administration compared to alternative treatments;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favorable third-party insurance coverage and sufficient reimbursement.</w:t>
      </w:r>
    </w:p>
    <w:p>
      <w:pPr>
        <w:spacing w:after="0" w:line="225"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61" w:lineRule="exact"/>
        <w:rPr>
          <w:sz w:val="20"/>
          <w:szCs w:val="20"/>
          <w:color w:val="auto"/>
        </w:rPr>
      </w:pPr>
    </w:p>
    <w:p>
      <w:pPr>
        <w:ind w:right="120" w:firstLine="546"/>
        <w:spacing w:after="0" w:line="275"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4"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We are currently conducting clinical trials for our product candidates in the United States, Canada and Australia, and plan to expand to other geographies including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79" w:lineRule="exact"/>
        <w:rPr>
          <w:sz w:val="20"/>
          <w:szCs w:val="20"/>
          <w:color w:val="auto"/>
        </w:rPr>
      </w:pPr>
    </w:p>
    <w:p>
      <w:pPr>
        <w:ind w:left="960" w:hanging="41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69" w:name="page70"/>
    <w:bookmarkEnd w:id="69"/>
    <w:p>
      <w:pPr>
        <w:ind w:left="960" w:hanging="412"/>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960" w:right="420" w:hanging="412"/>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960" w:right="220" w:hanging="412"/>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8"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76"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8"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82"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CMS decides whether and to what extent a new medicine will be covered and reimbursed under Medicare.</w:t>
      </w:r>
    </w:p>
    <w:p>
      <w:pPr>
        <w:spacing w:after="0" w:line="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84" w:lineRule="exact"/>
        <w:rPr>
          <w:sz w:val="20"/>
          <w:szCs w:val="20"/>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160" w:firstLine="546"/>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79" w:lineRule="exact"/>
        <w:rPr>
          <w:sz w:val="20"/>
          <w:szCs w:val="20"/>
          <w:color w:val="auto"/>
        </w:rPr>
      </w:pPr>
    </w:p>
    <w:p>
      <w:pPr>
        <w:ind w:right="80" w:firstLine="546"/>
        <w:spacing w:after="0" w:line="273" w:lineRule="auto"/>
        <w:rPr>
          <w:sz w:val="20"/>
          <w:szCs w:val="20"/>
          <w:color w:val="auto"/>
        </w:rPr>
      </w:pPr>
      <w:r>
        <w:rPr>
          <w:rFonts w:ascii="Arial" w:cs="Arial" w:eastAsia="Arial" w:hAnsi="Arial"/>
          <w:sz w:val="17"/>
          <w:szCs w:val="17"/>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6"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right="120" w:firstLine="546"/>
        <w:spacing w:after="0" w:line="275" w:lineRule="auto"/>
        <w:rPr>
          <w:sz w:val="20"/>
          <w:szCs w:val="20"/>
          <w:color w:val="auto"/>
        </w:rPr>
      </w:pPr>
      <w:r>
        <w:rPr>
          <w:rFonts w:ascii="Arial" w:cs="Arial" w:eastAsia="Arial" w:hAnsi="Arial"/>
          <w:sz w:val="17"/>
          <w:szCs w:val="17"/>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284"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2"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2010, the Patient Protection and Affordable Care Act, as amended by the Health Care and Education Reconciliation Act of 2010, or the ACA, was enacted, which, substantially changes the way healthcare is financed by both governmental and private insurers, and significantly impacts the U.S. pharmaceutical industry. The ACA,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increases the minimum Medicaid rebates owed by manufacturers under the Medicaid Drug Rebate Program, extends the Medicaid Drug Rebate program to utilization of prescriptions of individuals enrolled in Medicaid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ind w:right="100"/>
        <w:spacing w:after="0" w:line="279" w:lineRule="auto"/>
        <w:rPr>
          <w:sz w:val="20"/>
          <w:szCs w:val="20"/>
          <w:color w:val="auto"/>
        </w:rPr>
      </w:pPr>
      <w:r>
        <w:rPr>
          <w:rFonts w:ascii="Arial" w:cs="Arial" w:eastAsia="Arial" w:hAnsi="Arial"/>
          <w:sz w:val="17"/>
          <w:szCs w:val="17"/>
          <w:color w:val="auto"/>
        </w:rPr>
        <w:t>managed care organizations, subjects manufacturers to new annual fees and taxes for certain branded prescription drugs, creates a new Medicare Part D coverage gap discount program, in which manufacturers must agree to offer 70% (as of 2019) point-of-sale discounts off negotiated prices of applicable brand drugs to eligible beneficiaries during their coverage gap period, as a condition for the manufacturer’s outpatient drugs to be covered under Medicare Part D, and provides incentives to programs that increase the federal government’s comparative effectiveness research.</w:t>
      </w:r>
    </w:p>
    <w:p>
      <w:pPr>
        <w:spacing w:after="0" w:line="171" w:lineRule="exact"/>
        <w:rPr>
          <w:sz w:val="20"/>
          <w:szCs w:val="20"/>
          <w:color w:val="auto"/>
        </w:rPr>
      </w:pPr>
    </w:p>
    <w:p>
      <w:pPr>
        <w:ind w:right="20" w:firstLine="546"/>
        <w:spacing w:after="0" w:line="285"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and we expect there will be additional challenges and amendments to the ACA in the future. Various portions of the ACA are currently undergoing legal and constitutional challenges in the United States Supreme Court and members of Congress have introduced several pieces of legislation aimed at significantly revising or repealing the ACA. The United States Supreme Court is expected to rule on a legal challenge to the constitutionality of the ACA in early 2021. The implementation of the ACA is ongoing, the law appears likely to continue the downward pressure on pharmaceutical pricing, especially under the Medicare program, and may also increase our regulatory burdens and operating costs. Litigation and legislation related to the ACA are likely to continue, with unpredictable and uncertain results.In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2030 unless additional Congressional action is taken; however, pursuant to the Coronavirus Aid, Relief, and Economic Security Act, also known as the CARES Act, these reductions have been suspended from May 1, 2020 through March 31, 2021 due to the COVID-19 pandemic. Proposed legislation, if passed, would extend this suspension until the end of the pandemic.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76" w:lineRule="exact"/>
        <w:rPr>
          <w:sz w:val="20"/>
          <w:szCs w:val="20"/>
          <w:color w:val="auto"/>
        </w:rPr>
      </w:pPr>
    </w:p>
    <w:p>
      <w:pPr>
        <w:ind w:right="360" w:firstLine="546"/>
        <w:spacing w:after="0" w:line="279" w:lineRule="auto"/>
        <w:rPr>
          <w:sz w:val="20"/>
          <w:szCs w:val="20"/>
          <w:color w:val="auto"/>
        </w:rPr>
      </w:pPr>
      <w:r>
        <w:rPr>
          <w:rFonts w:ascii="Arial" w:cs="Arial" w:eastAsia="Arial" w:hAnsi="Arial"/>
          <w:sz w:val="17"/>
          <w:szCs w:val="17"/>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71" w:lineRule="exact"/>
        <w:rPr>
          <w:sz w:val="20"/>
          <w:szCs w:val="20"/>
          <w:color w:val="auto"/>
        </w:rPr>
      </w:pPr>
    </w:p>
    <w:p>
      <w:pPr>
        <w:ind w:firstLine="546"/>
        <w:spacing w:after="0" w:line="284" w:lineRule="auto"/>
        <w:rPr>
          <w:sz w:val="20"/>
          <w:szCs w:val="20"/>
          <w:color w:val="auto"/>
        </w:rPr>
      </w:pPr>
      <w:r>
        <w:rPr>
          <w:rFonts w:ascii="Arial" w:cs="Arial" w:eastAsia="Arial" w:hAnsi="Arial"/>
          <w:sz w:val="16"/>
          <w:szCs w:val="16"/>
          <w:color w:val="auto"/>
        </w:rPr>
        <w:t>In 2020, the former President signed four Executive Orders aimed at lowering drug prices.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w:t>
      </w:r>
    </w:p>
    <w:p>
      <w:pPr>
        <w:spacing w:after="0" w:line="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2027. However, in response to a lawsuit filed by several industry groups, on December 28, the U.S. District Court for the Northern District of California issued a nationwide preliminary injunction enjoining government defendants from implementing the MFN Rule pending completion of notice-and-comment procedures under the Administrative Procedure Act.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Interim Final Rule shall not commence earlier than 60 days after publication of that regulation in the Federal Register.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ind w:right="120"/>
        <w:spacing w:after="0" w:line="271" w:lineRule="auto"/>
        <w:rPr>
          <w:sz w:val="20"/>
          <w:szCs w:val="20"/>
          <w:color w:val="auto"/>
        </w:rPr>
      </w:pPr>
      <w:r>
        <w:rPr>
          <w:rFonts w:ascii="Arial" w:cs="Arial" w:eastAsia="Arial" w:hAnsi="Arial"/>
          <w:sz w:val="17"/>
          <w:szCs w:val="17"/>
          <w:color w:val="auto"/>
        </w:rPr>
        <w:t>fees are currently under review by the Biden administration and may be amended or repealed. The regulatory and market implications of the Executive Orders are unknown at this time, but could decrease the price we receive for any products that we may develop and commercialize and could adversely affect our future revenues and prospects for profitability. Additionally, HHS, has already implemented certain measures. For example, in May 2019, CMS issued a final rule to allow Medicare Advantage Plans the option of using step therapy, a type of prior authorization, for Part B drugs beginning January 1, 2020. This final rule codified CMS’s policy change that was effective January 1, 2019.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8" w:lineRule="exact"/>
        <w:rPr>
          <w:sz w:val="20"/>
          <w:szCs w:val="20"/>
          <w:color w:val="auto"/>
        </w:rPr>
      </w:pPr>
    </w:p>
    <w:p>
      <w:pPr>
        <w:ind w:right="240" w:firstLine="546"/>
        <w:spacing w:after="0" w:line="311" w:lineRule="auto"/>
        <w:rPr>
          <w:sz w:val="20"/>
          <w:szCs w:val="20"/>
          <w:color w:val="auto"/>
        </w:rPr>
      </w:pPr>
      <w:r>
        <w:rPr>
          <w:rFonts w:ascii="Arial" w:cs="Arial" w:eastAsia="Arial" w:hAnsi="Arial"/>
          <w:sz w:val="16"/>
          <w:szCs w:val="16"/>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49" w:lineRule="exact"/>
        <w:rPr>
          <w:sz w:val="20"/>
          <w:szCs w:val="20"/>
          <w:color w:val="auto"/>
        </w:rPr>
      </w:pPr>
    </w:p>
    <w:p>
      <w:pPr>
        <w:ind w:right="140" w:firstLine="546"/>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278" w:lineRule="exact"/>
        <w:rPr>
          <w:sz w:val="20"/>
          <w:szCs w:val="20"/>
          <w:color w:val="auto"/>
        </w:rPr>
      </w:pPr>
    </w:p>
    <w:p>
      <w:pPr>
        <w:ind w:left="560" w:right="160"/>
        <w:spacing w:after="0" w:line="340" w:lineRule="auto"/>
        <w:rPr>
          <w:sz w:val="20"/>
          <w:szCs w:val="20"/>
          <w:color w:val="auto"/>
        </w:rPr>
      </w:pPr>
      <w:r>
        <w:rPr>
          <w:rFonts w:ascii="Arial" w:cs="Arial" w:eastAsia="Arial" w:hAnsi="Arial"/>
          <w:sz w:val="15"/>
          <w:szCs w:val="15"/>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80" w:firstLine="546"/>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Additionally, as of June 23, 2020, the FDA noted it is continuing to ensure timely reviews of applications for medical products during the COVID-19 pandemic in line with its user fee performance goals; however, the FDA may not be able to continue its current pace and review timelines could be extended, including where a pre-approval inspection or an inspection of clinical sites is required and due to the COVID-19 pandemic and travel restrictions FDA is unable to complete such required inspections during the review period. Since March 2020, foreign and domestic inspections by the FDA have largely been on hold with the FDA announcing plans in July 2020 to resume prioritized domestic inspections. However, the FDA’s inspection activities will depend on data about the virus’ trajectory in a given state and locality and the rules and guidelines that are put in place by state and local governments. The FDA has developed a rating system to assist in determining when and where it is safest to conduct prioritized domestic inspections. Should the FDA determine that an inspection is necessary for approval and an inspection cannot be completed during the review cycle due to restrictions on travel, the FDA has stated that it generally intends to issue a complete response letter. Further, if there is inadequate information to make a determination on the acceptability of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3" w:name="page74"/>
    <w:bookmarkEnd w:id="73"/>
    <w:p>
      <w:pPr>
        <w:spacing w:after="0" w:line="273" w:lineRule="auto"/>
        <w:rPr>
          <w:sz w:val="20"/>
          <w:szCs w:val="20"/>
          <w:color w:val="auto"/>
        </w:rPr>
      </w:pPr>
      <w:r>
        <w:rPr>
          <w:rFonts w:ascii="Arial" w:cs="Arial" w:eastAsia="Arial" w:hAnsi="Arial"/>
          <w:sz w:val="17"/>
          <w:szCs w:val="17"/>
          <w:color w:val="auto"/>
        </w:rPr>
        <w:t>facility, the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286" w:lineRule="exact"/>
        <w:rPr>
          <w:sz w:val="20"/>
          <w:szCs w:val="20"/>
          <w:color w:val="auto"/>
        </w:rPr>
      </w:pPr>
    </w:p>
    <w:p>
      <w:pPr>
        <w:ind w:left="560" w:right="40"/>
        <w:spacing w:after="0" w:line="375" w:lineRule="auto"/>
        <w:rPr>
          <w:sz w:val="20"/>
          <w:szCs w:val="20"/>
          <w:color w:val="auto"/>
        </w:rPr>
      </w:pPr>
      <w:r>
        <w:rPr>
          <w:rFonts w:ascii="Arial" w:cs="Arial" w:eastAsia="Arial" w:hAnsi="Arial"/>
          <w:sz w:val="15"/>
          <w:szCs w:val="15"/>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 w:lineRule="exact"/>
        <w:rPr>
          <w:sz w:val="20"/>
          <w:szCs w:val="20"/>
          <w:color w:val="auto"/>
        </w:rPr>
      </w:pPr>
    </w:p>
    <w:p>
      <w:pPr>
        <w:jc w:val="both"/>
        <w:ind w:right="120" w:firstLine="546"/>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24" w:lineRule="exact"/>
        <w:rPr>
          <w:sz w:val="20"/>
          <w:szCs w:val="20"/>
          <w:color w:val="auto"/>
        </w:rPr>
      </w:pPr>
    </w:p>
    <w:p>
      <w:pPr>
        <w:ind w:right="20" w:firstLine="546"/>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560" w:right="10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23"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In addition, in February 2021 a lentiviral gene therapy company reported a potential case of myelodysplastic syndrome and another case of acute myeloid leukemia in their clinical trials for sickle cell disease, and these cases remain under investigation. Adverse events in our clinical studies or discovered in long-term follow-up, even if not ultimately attributable to our product candidates (such as the many adverse events that typically arise from the conditioning process), or adverse events in other lentiviral gene therapy trials, and the resulting publicity could result in a decline in our stock price,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4" w:name="page75"/>
    <w:bookmarkEnd w:id="74"/>
    <w:p>
      <w:pPr>
        <w:ind w:left="560" w:right="64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62"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will need to expand our operations and we may experience difficulties in managing this growth, which could disrupt our operations.</w:t>
      </w:r>
    </w:p>
    <w:p>
      <w:pPr>
        <w:spacing w:after="0" w:line="140" w:lineRule="exact"/>
        <w:rPr>
          <w:sz w:val="20"/>
          <w:szCs w:val="20"/>
          <w:color w:val="auto"/>
        </w:rPr>
      </w:pPr>
    </w:p>
    <w:p>
      <w:pPr>
        <w:ind w:right="100" w:firstLine="546"/>
        <w:spacing w:after="0" w:line="270" w:lineRule="auto"/>
        <w:rPr>
          <w:sz w:val="20"/>
          <w:szCs w:val="20"/>
          <w:color w:val="auto"/>
        </w:rPr>
      </w:pPr>
      <w:r>
        <w:rPr>
          <w:rFonts w:ascii="Arial" w:cs="Arial" w:eastAsia="Arial" w:hAnsi="Arial"/>
          <w:sz w:val="17"/>
          <w:szCs w:val="17"/>
          <w:color w:val="auto"/>
        </w:rPr>
        <w:t>As of December 31, 2020, we had 121 full-time employees. As we mature, we expect to rapidly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right="120" w:firstLine="546"/>
        <w:spacing w:after="0" w:line="291"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74"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ind w:right="340"/>
        <w:spacing w:after="0" w:line="257" w:lineRule="auto"/>
        <w:rPr>
          <w:sz w:val="20"/>
          <w:szCs w:val="20"/>
          <w:color w:val="auto"/>
        </w:rPr>
      </w:pPr>
      <w:r>
        <w:rPr>
          <w:rFonts w:ascii="Arial" w:cs="Arial" w:eastAsia="Arial" w:hAnsi="Arial"/>
          <w:sz w:val="18"/>
          <w:szCs w:val="18"/>
          <w:color w:val="auto"/>
        </w:rPr>
        <w:t>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6" w:lineRule="exact"/>
        <w:rPr>
          <w:sz w:val="20"/>
          <w:szCs w:val="20"/>
          <w:color w:val="auto"/>
        </w:rPr>
      </w:pPr>
    </w:p>
    <w:p>
      <w:pPr>
        <w:ind w:left="560" w:right="70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spacing w:after="0" w:line="28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6"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84" w:lineRule="exact"/>
        <w:rPr>
          <w:sz w:val="20"/>
          <w:szCs w:val="20"/>
          <w:color w:val="auto"/>
        </w:rPr>
      </w:pPr>
    </w:p>
    <w:p>
      <w:pPr>
        <w:ind w:left="940" w:hanging="392"/>
        <w:spacing w:after="0" w:line="267" w:lineRule="auto"/>
        <w:tabs>
          <w:tab w:leader="none" w:pos="9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 fees are currently under review by the Biden administration and may be amended or repealed;</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76" w:name="page77"/>
    <w:bookmarkEnd w:id="76"/>
    <w:p>
      <w:pPr>
        <w:ind w:left="960" w:hanging="412"/>
        <w:spacing w:after="0" w:line="271" w:lineRule="auto"/>
        <w:tabs>
          <w:tab w:leader="none" w:pos="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70" w:lineRule="exact"/>
        <w:rPr>
          <w:rFonts w:ascii="Arial" w:cs="Arial" w:eastAsia="Arial" w:hAnsi="Arial"/>
          <w:sz w:val="17"/>
          <w:szCs w:val="17"/>
          <w:color w:val="auto"/>
        </w:rPr>
      </w:pPr>
    </w:p>
    <w:p>
      <w:pPr>
        <w:ind w:left="960" w:right="20" w:hanging="412"/>
        <w:spacing w:after="0" w:line="259"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960" w:hanging="412"/>
        <w:spacing w:after="0" w:line="291"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ind w:left="960" w:right="60" w:hanging="412"/>
        <w:spacing w:after="0" w:line="279" w:lineRule="auto"/>
        <w:tabs>
          <w:tab w:leader="none" w:pos="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3" w:lineRule="exact"/>
        <w:rPr>
          <w:rFonts w:ascii="Arial" w:cs="Arial" w:eastAsia="Arial" w:hAnsi="Arial"/>
          <w:sz w:val="17"/>
          <w:szCs w:val="17"/>
          <w:color w:val="auto"/>
        </w:rPr>
      </w:pPr>
    </w:p>
    <w:p>
      <w:pPr>
        <w:ind w:left="960" w:right="60" w:hanging="412"/>
        <w:spacing w:after="0" w:line="293"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(currently defined to include doctors, dentists, optometrists, podiatrists and chiropractors), physician assistants, nurse practitioners, clinical nurse specialists, certified registered nurse anesthetists and teaching hospitals, as well as ownership and investment interests held by the physicians described above and their immediate family members.</w:t>
      </w:r>
    </w:p>
    <w:p>
      <w:pPr>
        <w:spacing w:after="0" w:line="56" w:lineRule="exact"/>
        <w:rPr>
          <w:rFonts w:ascii="Arial" w:cs="Arial" w:eastAsia="Arial" w:hAnsi="Arial"/>
          <w:sz w:val="16"/>
          <w:szCs w:val="16"/>
          <w:color w:val="auto"/>
        </w:rPr>
      </w:pPr>
    </w:p>
    <w:p>
      <w:pPr>
        <w:ind w:left="960" w:right="40" w:hanging="412"/>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62" w:lineRule="exact"/>
        <w:rPr>
          <w:rFonts w:ascii="Arial" w:cs="Arial" w:eastAsia="Arial" w:hAnsi="Arial"/>
          <w:sz w:val="18"/>
          <w:szCs w:val="18"/>
          <w:color w:val="auto"/>
        </w:rPr>
      </w:pPr>
    </w:p>
    <w:p>
      <w:pPr>
        <w:ind w:left="960" w:right="300" w:hanging="412"/>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ind w:right="300" w:firstLine="546"/>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right="20" w:firstLine="546"/>
        <w:spacing w:after="0" w:line="275"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76"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66" w:lineRule="exact"/>
        <w:rPr>
          <w:sz w:val="20"/>
          <w:szCs w:val="20"/>
          <w:color w:val="auto"/>
        </w:rPr>
      </w:pPr>
    </w:p>
    <w:p>
      <w:pPr>
        <w:ind w:right="60" w:firstLine="546"/>
        <w:spacing w:after="0" w:line="290" w:lineRule="auto"/>
        <w:rPr>
          <w:sz w:val="20"/>
          <w:szCs w:val="20"/>
          <w:color w:val="auto"/>
        </w:rPr>
      </w:pPr>
      <w:r>
        <w:rPr>
          <w:rFonts w:ascii="Arial" w:cs="Arial" w:eastAsia="Arial" w:hAnsi="Arial"/>
          <w:sz w:val="16"/>
          <w:szCs w:val="16"/>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273" w:lineRule="exact"/>
        <w:rPr>
          <w:sz w:val="20"/>
          <w:szCs w:val="20"/>
          <w:color w:val="auto"/>
        </w:rPr>
      </w:pPr>
    </w:p>
    <w:p>
      <w:pPr>
        <w:ind w:left="560" w:right="320"/>
        <w:spacing w:after="0" w:line="375" w:lineRule="auto"/>
        <w:rPr>
          <w:sz w:val="20"/>
          <w:szCs w:val="20"/>
          <w:color w:val="auto"/>
        </w:rPr>
      </w:pPr>
      <w:r>
        <w:rPr>
          <w:rFonts w:ascii="Arial" w:cs="Arial" w:eastAsia="Arial" w:hAnsi="Arial"/>
          <w:sz w:val="15"/>
          <w:szCs w:val="15"/>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65"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8" w:name="page79"/>
    <w:bookmarkEnd w:id="78"/>
    <w:p>
      <w:pPr>
        <w:spacing w:after="0" w:line="277" w:lineRule="auto"/>
        <w:rPr>
          <w:sz w:val="20"/>
          <w:szCs w:val="20"/>
          <w:color w:val="auto"/>
        </w:rPr>
      </w:pPr>
      <w:r>
        <w:rPr>
          <w:rFonts w:ascii="Arial" w:cs="Arial" w:eastAsia="Arial" w:hAnsi="Arial"/>
          <w:sz w:val="18"/>
          <w:szCs w:val="18"/>
          <w:color w:val="auto"/>
        </w:rPr>
        <w:t>failed to comply with data protection laws, or breached our contractual obligations, even if we are not found liable, could be expensive and time-consuming to defend and could result in adverse publicity that could harm our business.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We currently plan to conduct clinical trials in the European Union, or EU, and as a result will be subject to additional privacy restrictions. The collection and use of personal health data in the EU is governed by the provisions of the General Data Protection Regulation, or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imposes strict rules on the transfer of personal data out of the European Union to the United States. Failure to comply with the requirements of the Data Protection Directive, the GDPR, and the related national data protection laws of the European Union Member States may result in fines and other administrative penalties. The GDPR introduces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93" w:lineRule="exact"/>
        <w:rPr>
          <w:sz w:val="20"/>
          <w:szCs w:val="20"/>
          <w:color w:val="auto"/>
        </w:rPr>
      </w:pPr>
    </w:p>
    <w:p>
      <w:pPr>
        <w:jc w:val="both"/>
        <w:ind w:left="560"/>
        <w:spacing w:after="0" w:line="340" w:lineRule="auto"/>
        <w:rPr>
          <w:sz w:val="20"/>
          <w:szCs w:val="20"/>
          <w:color w:val="auto"/>
        </w:rPr>
      </w:pPr>
      <w:r>
        <w:rPr>
          <w:rFonts w:ascii="Arial" w:cs="Arial" w:eastAsia="Arial" w:hAnsi="Arial"/>
          <w:sz w:val="15"/>
          <w:szCs w:val="15"/>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23"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0" w:lineRule="exact"/>
        <w:rPr>
          <w:sz w:val="20"/>
          <w:szCs w:val="20"/>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color w:val="auto"/>
        </w:rPr>
        <w:t>We carry master product liability insurance of $5.0 million per occurrence and $5.0 million in the aggregate in the United States. For studies conducted in Australia and Canada, we maintain local admitted policies with varying limits.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78" w:lineRule="exact"/>
        <w:rPr>
          <w:sz w:val="20"/>
          <w:szCs w:val="20"/>
          <w:color w:val="auto"/>
        </w:rPr>
      </w:pPr>
    </w:p>
    <w:p>
      <w:pPr>
        <w:ind w:right="140" w:firstLine="546"/>
        <w:spacing w:after="0" w:line="296" w:lineRule="auto"/>
        <w:rPr>
          <w:sz w:val="20"/>
          <w:szCs w:val="20"/>
          <w:color w:val="auto"/>
        </w:rPr>
      </w:pPr>
      <w:r>
        <w:rPr>
          <w:rFonts w:ascii="Arial" w:cs="Arial" w:eastAsia="Arial" w:hAnsi="Arial"/>
          <w:sz w:val="16"/>
          <w:szCs w:val="16"/>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spacing w:after="0" w:line="259" w:lineRule="auto"/>
        <w:rPr>
          <w:sz w:val="20"/>
          <w:szCs w:val="20"/>
          <w:color w:val="auto"/>
        </w:rPr>
      </w:pPr>
      <w:r>
        <w:rPr>
          <w:rFonts w:ascii="Arial" w:cs="Arial" w:eastAsia="Arial" w:hAnsi="Arial"/>
          <w:sz w:val="18"/>
          <w:szCs w:val="18"/>
          <w:color w:val="auto"/>
        </w:rPr>
        <w:t>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95"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5"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0" w:lineRule="exact"/>
        <w:rPr>
          <w:sz w:val="20"/>
          <w:szCs w:val="20"/>
          <w:color w:val="auto"/>
        </w:rPr>
      </w:pPr>
    </w:p>
    <w:p>
      <w:pPr>
        <w:ind w:left="560" w:right="880"/>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62"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As of December 31, 2020, we had federal and state net operating loss carryforwards of $214.0 million and $201.6 million, respectively, and federal and state research and development tax credit carryforwards of approximately $3.7 million and $0.7 million, respectively. If not utilized, the net operating loss carryforwards and research and development credits will generally expire at various dates through 2038 (other than federal net operating loss carryforwards generated in taxable years ending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Internal Revenue Code of 1986, as amended, or the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development and commercialization efforts.</w:t>
      </w:r>
    </w:p>
    <w:p>
      <w:pPr>
        <w:spacing w:after="0" w:line="129"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95" w:lineRule="exact"/>
        <w:rPr>
          <w:sz w:val="20"/>
          <w:szCs w:val="20"/>
          <w:color w:val="auto"/>
        </w:rPr>
      </w:pPr>
    </w:p>
    <w:p>
      <w:pPr>
        <w:ind w:right="40" w:firstLine="546"/>
        <w:spacing w:after="0" w:line="289" w:lineRule="auto"/>
        <w:rPr>
          <w:sz w:val="20"/>
          <w:szCs w:val="20"/>
          <w:color w:val="auto"/>
        </w:rPr>
      </w:pPr>
      <w:r>
        <w:rPr>
          <w:rFonts w:ascii="Arial" w:cs="Arial" w:eastAsia="Arial" w:hAnsi="Arial"/>
          <w:sz w:val="16"/>
          <w:szCs w:val="16"/>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66" w:lineRule="exact"/>
        <w:rPr>
          <w:sz w:val="20"/>
          <w:szCs w:val="20"/>
          <w:color w:val="auto"/>
        </w:rPr>
      </w:pPr>
    </w:p>
    <w:p>
      <w:pPr>
        <w:ind w:right="120" w:firstLine="546"/>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2" w:lineRule="exact"/>
        <w:rPr>
          <w:sz w:val="20"/>
          <w:szCs w:val="20"/>
          <w:color w:val="auto"/>
        </w:rPr>
      </w:pPr>
    </w:p>
    <w:p>
      <w:pPr>
        <w:ind w:right="160" w:firstLine="546"/>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85"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62" w:lineRule="exact"/>
        <w:rPr>
          <w:sz w:val="20"/>
          <w:szCs w:val="20"/>
          <w:color w:val="auto"/>
        </w:rPr>
      </w:pPr>
    </w:p>
    <w:p>
      <w:pPr>
        <w:ind w:right="20" w:firstLine="546"/>
        <w:spacing w:after="0" w:line="275" w:lineRule="auto"/>
        <w:rPr>
          <w:sz w:val="20"/>
          <w:szCs w:val="20"/>
          <w:color w:val="auto"/>
        </w:rPr>
      </w:pPr>
      <w:r>
        <w:rPr>
          <w:rFonts w:ascii="Arial" w:cs="Arial" w:eastAsia="Arial" w:hAnsi="Arial"/>
          <w:sz w:val="17"/>
          <w:szCs w:val="17"/>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type 1 program). In addition, we have in-licensed patents and patent applications from BioMarin Pharmaceutical Inc., or BioMarin (relevant to AVR-RD-03 and our Pompe program), GenStem Therapeutics,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ind w:right="280"/>
        <w:spacing w:after="0" w:line="311" w:lineRule="auto"/>
        <w:rPr>
          <w:sz w:val="20"/>
          <w:szCs w:val="20"/>
          <w:color w:val="auto"/>
        </w:rPr>
      </w:pPr>
      <w:r>
        <w:rPr>
          <w:rFonts w:ascii="Arial" w:cs="Arial" w:eastAsia="Arial" w:hAnsi="Arial"/>
          <w:sz w:val="16"/>
          <w:szCs w:val="16"/>
          <w:color w:val="auto"/>
        </w:rPr>
        <w:t>Inc., or GenStem (relevant to AVR-RD-04 and our cystinosis program) and The University of Manchester (relevant to AVR-RD-05 and our Hunter program), directed to compositions and methods related to the manufacture and use of AVR-RD-03, AVR-RD-04 and AVR-RD-05, respectively. Any termination of these licenses could result in the loss of significant rights and could harm or prevent our ability to commercialize our product candidates.</w:t>
      </w:r>
    </w:p>
    <w:p>
      <w:pPr>
        <w:spacing w:after="0" w:line="149"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cystinosis, Gaucher disease type 1, Hunter syndrome, or Pompe disease,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ind w:right="120" w:firstLine="546"/>
        <w:spacing w:after="0" w:line="293" w:lineRule="auto"/>
        <w:rPr>
          <w:sz w:val="20"/>
          <w:szCs w:val="20"/>
          <w:color w:val="auto"/>
        </w:rPr>
      </w:pPr>
      <w:r>
        <w:rPr>
          <w:rFonts w:ascii="Arial" w:cs="Arial" w:eastAsia="Arial" w:hAnsi="Arial"/>
          <w:sz w:val="16"/>
          <w:szCs w:val="16"/>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the rights holders associated with Lund University, and The University of Manchester,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64"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303" w:lineRule="exact"/>
        <w:rPr>
          <w:sz w:val="20"/>
          <w:szCs w:val="20"/>
          <w:color w:val="auto"/>
        </w:rPr>
      </w:pPr>
    </w:p>
    <w:p>
      <w:pPr>
        <w:ind w:left="560" w:right="36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6"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right="100" w:firstLine="546"/>
        <w:spacing w:after="0" w:line="296" w:lineRule="auto"/>
        <w:rPr>
          <w:sz w:val="20"/>
          <w:szCs w:val="20"/>
          <w:color w:val="auto"/>
        </w:rPr>
      </w:pPr>
      <w:r>
        <w:rPr>
          <w:rFonts w:ascii="Arial" w:cs="Arial" w:eastAsia="Arial" w:hAnsi="Arial"/>
          <w:sz w:val="16"/>
          <w:szCs w:val="16"/>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61"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2" w:name="page83"/>
    <w:bookmarkEnd w:id="82"/>
    <w:p>
      <w:pPr>
        <w:ind w:right="60"/>
        <w:spacing w:after="0" w:line="255" w:lineRule="auto"/>
        <w:rPr>
          <w:sz w:val="20"/>
          <w:szCs w:val="20"/>
          <w:color w:val="auto"/>
        </w:rPr>
      </w:pPr>
      <w:r>
        <w:rPr>
          <w:rFonts w:ascii="Arial" w:cs="Arial" w:eastAsia="Arial" w:hAnsi="Arial"/>
          <w:sz w:val="18"/>
          <w:szCs w:val="18"/>
          <w:color w:val="auto"/>
        </w:rPr>
        <w:t>with a competitive advantage, or whether we will be able to successfully pursue patent applications in the future related to our current or future product candidates. While we have in-licensed patents and patent applications relevant to AVR-RD-03, we currently have no owned or in-licensed patents or patent applications covering AVR-RD-01, AVR-RD-02 or AVR-RD-06, and the patent applications that we in-licensed related to AVR-RD-04 and AVR-RD-05 are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72" w:lineRule="exact"/>
        <w:rPr>
          <w:sz w:val="20"/>
          <w:szCs w:val="20"/>
          <w:color w:val="auto"/>
        </w:rPr>
      </w:pPr>
    </w:p>
    <w:p>
      <w:pPr>
        <w:ind w:right="40" w:firstLine="546"/>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4"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right="20" w:firstLine="546"/>
        <w:spacing w:after="0" w:line="268" w:lineRule="auto"/>
        <w:rPr>
          <w:sz w:val="20"/>
          <w:szCs w:val="20"/>
          <w:color w:val="auto"/>
        </w:rPr>
      </w:pPr>
      <w:r>
        <w:rPr>
          <w:rFonts w:ascii="Arial" w:cs="Arial" w:eastAsia="Arial" w:hAnsi="Arial"/>
          <w:sz w:val="17"/>
          <w:szCs w:val="17"/>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ind w:right="40" w:firstLine="546"/>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76" w:lineRule="exact"/>
        <w:rPr>
          <w:sz w:val="20"/>
          <w:szCs w:val="20"/>
          <w:color w:val="auto"/>
        </w:rPr>
      </w:pPr>
    </w:p>
    <w:p>
      <w:pPr>
        <w:ind w:left="560" w:right="300"/>
        <w:spacing w:after="0" w:line="342" w:lineRule="auto"/>
        <w:rPr>
          <w:sz w:val="20"/>
          <w:szCs w:val="20"/>
          <w:color w:val="auto"/>
        </w:rPr>
      </w:pPr>
      <w:r>
        <w:rPr>
          <w:rFonts w:ascii="Arial" w:cs="Arial" w:eastAsia="Arial" w:hAnsi="Arial"/>
          <w:sz w:val="16"/>
          <w:szCs w:val="16"/>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6"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6" w:lineRule="exact"/>
        <w:rPr>
          <w:sz w:val="20"/>
          <w:szCs w:val="20"/>
          <w:color w:val="auto"/>
        </w:rPr>
      </w:pPr>
    </w:p>
    <w:p>
      <w:pPr>
        <w:ind w:right="40" w:firstLine="546"/>
        <w:spacing w:after="0" w:line="275"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the patents and other intellectual property that we own or license.</w:t>
      </w:r>
    </w:p>
    <w:p>
      <w:pPr>
        <w:spacing w:after="0" w:line="152"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73" w:lineRule="exact"/>
        <w:rPr>
          <w:sz w:val="20"/>
          <w:szCs w:val="20"/>
          <w:color w:val="auto"/>
        </w:rPr>
      </w:pPr>
    </w:p>
    <w:p>
      <w:pPr>
        <w:ind w:left="560"/>
        <w:spacing w:after="0" w:line="286" w:lineRule="auto"/>
        <w:rPr>
          <w:sz w:val="20"/>
          <w:szCs w:val="20"/>
          <w:color w:val="auto"/>
        </w:rPr>
      </w:pPr>
      <w:r>
        <w:rPr>
          <w:rFonts w:ascii="Arial" w:cs="Arial" w:eastAsia="Arial" w:hAnsi="Arial"/>
          <w:sz w:val="17"/>
          <w:szCs w:val="17"/>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57" w:lineRule="exact"/>
        <w:rPr>
          <w:sz w:val="20"/>
          <w:szCs w:val="20"/>
          <w:color w:val="auto"/>
        </w:rPr>
      </w:pPr>
    </w:p>
    <w:p>
      <w:pPr>
        <w:ind w:right="60" w:firstLine="546"/>
        <w:spacing w:after="0" w:line="257" w:lineRule="auto"/>
        <w:rPr>
          <w:sz w:val="20"/>
          <w:szCs w:val="20"/>
          <w:color w:val="auto"/>
        </w:rPr>
      </w:pPr>
      <w:r>
        <w:rPr>
          <w:rFonts w:ascii="Arial" w:cs="Arial" w:eastAsia="Arial" w:hAnsi="Arial"/>
          <w:sz w:val="18"/>
          <w:szCs w:val="18"/>
          <w:color w:val="auto"/>
        </w:rPr>
        <w:t>Some of the intellectual property rights we have licensed, including rights licensed to us by GenStem, may have been generated through the use of U.S. government and California state funding and may therefore be subject to certain federal and state laws and regulations. For example, with respect to the AVR-RD-04 program for cystinosis, the NIH previously granted funding to UCSD for certain research in connection with the development of UCSD’s gene therapy program for cystinosis, which we have licensed from GenStem. As a result, the U.S. government may have certain rights to intellectual property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84" w:name="page85"/>
    <w:bookmarkEnd w:id="84"/>
    <w:p>
      <w:pPr>
        <w:ind w:right="20"/>
        <w:spacing w:after="0" w:line="285" w:lineRule="auto"/>
        <w:rPr>
          <w:sz w:val="20"/>
          <w:szCs w:val="20"/>
          <w:color w:val="auto"/>
        </w:rPr>
      </w:pPr>
      <w:r>
        <w:rPr>
          <w:rFonts w:ascii="Arial" w:cs="Arial" w:eastAsia="Arial" w:hAnsi="Arial"/>
          <w:sz w:val="16"/>
          <w:szCs w:val="16"/>
          <w:color w:val="auto"/>
        </w:rPr>
        <w:t>embodied in our AVR-RD-04 program, or in other product candidates to the extent funded by the U.S. government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which has granted funds for the study of AVR-RD-04 for cystinosis,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7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140"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6"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5" w:name="page86"/>
    <w:bookmarkEnd w:id="85"/>
    <w:p>
      <w:pPr>
        <w:ind w:right="20"/>
        <w:spacing w:after="0" w:line="255" w:lineRule="auto"/>
        <w:rPr>
          <w:sz w:val="20"/>
          <w:szCs w:val="20"/>
          <w:color w:val="auto"/>
        </w:rPr>
      </w:pPr>
      <w:r>
        <w:rPr>
          <w:rFonts w:ascii="Arial" w:cs="Arial" w:eastAsia="Arial" w:hAnsi="Arial"/>
          <w:sz w:val="18"/>
          <w:szCs w:val="18"/>
          <w:color w:val="auto"/>
        </w:rPr>
        <w:t>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92" w:lineRule="exact"/>
        <w:rPr>
          <w:sz w:val="20"/>
          <w:szCs w:val="20"/>
          <w:color w:val="auto"/>
        </w:rPr>
      </w:pPr>
    </w:p>
    <w:p>
      <w:pPr>
        <w:ind w:right="380" w:firstLine="546"/>
        <w:spacing w:after="0" w:line="25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76"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129"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76"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We have registered the marks “AVROBIO” and “plato” with the USPTO but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ind w:right="40"/>
        <w:spacing w:after="0" w:line="301" w:lineRule="auto"/>
        <w:rPr>
          <w:sz w:val="20"/>
          <w:szCs w:val="20"/>
          <w:color w:val="auto"/>
        </w:rPr>
      </w:pPr>
      <w:r>
        <w:rPr>
          <w:rFonts w:ascii="Arial" w:cs="Arial" w:eastAsia="Arial" w:hAnsi="Arial"/>
          <w:sz w:val="16"/>
          <w:szCs w:val="16"/>
          <w:color w:val="auto"/>
        </w:rPr>
        <w:t>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960" w:right="480" w:hanging="412"/>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62" w:lineRule="exact"/>
        <w:rPr>
          <w:rFonts w:ascii="Arial" w:cs="Arial" w:eastAsia="Arial" w:hAnsi="Arial"/>
          <w:sz w:val="18"/>
          <w:szCs w:val="18"/>
          <w:color w:val="auto"/>
        </w:rPr>
      </w:pPr>
    </w:p>
    <w:p>
      <w:pPr>
        <w:ind w:left="960" w:right="180" w:hanging="412"/>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62" w:lineRule="exact"/>
        <w:rPr>
          <w:rFonts w:ascii="Arial" w:cs="Arial" w:eastAsia="Arial" w:hAnsi="Arial"/>
          <w:sz w:val="18"/>
          <w:szCs w:val="18"/>
          <w:color w:val="auto"/>
        </w:rPr>
      </w:pPr>
    </w:p>
    <w:p>
      <w:pPr>
        <w:ind w:left="960" w:right="260" w:hanging="412"/>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960" w:right="320" w:hanging="412"/>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40" w:lineRule="exact"/>
        <w:rPr>
          <w:rFonts w:ascii="Arial" w:cs="Arial" w:eastAsia="Arial" w:hAnsi="Arial"/>
          <w:sz w:val="16"/>
          <w:szCs w:val="16"/>
          <w:color w:val="auto"/>
        </w:rPr>
      </w:pPr>
    </w:p>
    <w:p>
      <w:pPr>
        <w:ind w:left="960" w:right="380" w:hanging="412"/>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17" w:lineRule="exact"/>
        <w:rPr>
          <w:rFonts w:ascii="Arial" w:cs="Arial" w:eastAsia="Arial" w:hAnsi="Arial"/>
          <w:sz w:val="18"/>
          <w:szCs w:val="18"/>
          <w:color w:val="auto"/>
        </w:rPr>
      </w:pPr>
    </w:p>
    <w:p>
      <w:pPr>
        <w:ind w:left="960" w:right="800" w:hanging="412"/>
        <w:spacing w:after="0" w:line="308" w:lineRule="auto"/>
        <w:tabs>
          <w:tab w:leader="none" w:pos="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960" w:hanging="41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960" w:right="740" w:hanging="412"/>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62"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Our stock price is likely to be volatile. Since our initial public offering, or IPO, in June 2018, through March 1, 2021, the trading price of our common stock has ranged from $9.76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80" w:lineRule="exact"/>
        <w:rPr>
          <w:sz w:val="20"/>
          <w:szCs w:val="20"/>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7" w:name="page88"/>
    <w:bookmarkEnd w:id="87"/>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960" w:right="360" w:hanging="412"/>
        <w:spacing w:after="0" w:line="27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62" w:lineRule="exact"/>
        <w:rPr>
          <w:rFonts w:ascii="Arial" w:cs="Arial" w:eastAsia="Arial" w:hAnsi="Arial"/>
          <w:sz w:val="18"/>
          <w:szCs w:val="18"/>
          <w:color w:val="auto"/>
        </w:rPr>
      </w:pPr>
    </w:p>
    <w:p>
      <w:pPr>
        <w:ind w:left="960" w:right="20" w:hanging="412"/>
        <w:spacing w:after="0" w:line="27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ind w:right="160" w:firstLine="546"/>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120" w:firstLine="546"/>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Prior to our IPO in June 2018,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84"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8"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8" w:name="page89"/>
    <w:bookmarkEnd w:id="88"/>
    <w:p>
      <w:pPr>
        <w:ind w:right="40"/>
        <w:spacing w:after="0" w:line="263" w:lineRule="auto"/>
        <w:rPr>
          <w:sz w:val="20"/>
          <w:szCs w:val="20"/>
          <w:color w:val="auto"/>
        </w:rPr>
      </w:pPr>
      <w:r>
        <w:rPr>
          <w:rFonts w:ascii="Arial" w:cs="Arial" w:eastAsia="Arial" w:hAnsi="Arial"/>
          <w:sz w:val="18"/>
          <w:szCs w:val="18"/>
          <w:color w:val="auto"/>
        </w:rPr>
        <w:t>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92"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right="100" w:firstLine="546"/>
        <w:spacing w:after="0" w:line="253" w:lineRule="auto"/>
        <w:rPr>
          <w:sz w:val="20"/>
          <w:szCs w:val="20"/>
          <w:color w:val="auto"/>
        </w:rPr>
      </w:pPr>
      <w:r>
        <w:rPr>
          <w:rFonts w:ascii="Arial" w:cs="Arial" w:eastAsia="Arial" w:hAnsi="Arial"/>
          <w:sz w:val="18"/>
          <w:szCs w:val="18"/>
          <w:color w:val="auto"/>
        </w:rPr>
        <w:t>Based on shares outstanding as of March 9, 2021, our executive officers, directors, five percent stockholders and their affiliates beneficially owned approximately 27%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304"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160" w:firstLine="546"/>
        <w:spacing w:after="0" w:line="287" w:lineRule="auto"/>
        <w:rPr>
          <w:sz w:val="20"/>
          <w:szCs w:val="20"/>
          <w:color w:val="auto"/>
        </w:rPr>
      </w:pPr>
      <w:r>
        <w:rPr>
          <w:rFonts w:ascii="Arial" w:cs="Arial" w:eastAsia="Arial" w:hAnsi="Arial"/>
          <w:sz w:val="16"/>
          <w:szCs w:val="16"/>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w:t>
      </w:r>
    </w:p>
    <w:p>
      <w:pPr>
        <w:spacing w:after="0" w:line="2" w:lineRule="exact"/>
        <w:rPr>
          <w:sz w:val="20"/>
          <w:szCs w:val="20"/>
          <w:color w:val="auto"/>
        </w:rPr>
      </w:pPr>
    </w:p>
    <w:p>
      <w:pPr>
        <w:ind w:firstLine="8"/>
        <w:spacing w:after="0" w:line="253" w:lineRule="auto"/>
        <w:tabs>
          <w:tab w:leader="none" w:pos="3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p>
    <w:p>
      <w:pPr>
        <w:spacing w:after="0" w:line="84" w:lineRule="exact"/>
        <w:rPr>
          <w:rFonts w:ascii="Arial" w:cs="Arial" w:eastAsia="Arial" w:hAnsi="Arial"/>
          <w:sz w:val="18"/>
          <w:szCs w:val="18"/>
          <w:color w:val="auto"/>
        </w:rPr>
      </w:pPr>
    </w:p>
    <w:p>
      <w:pPr>
        <w:ind w:left="960" w:hanging="412"/>
        <w:spacing w:after="0"/>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17" w:lineRule="exact"/>
        <w:rPr>
          <w:rFonts w:ascii="Arial" w:cs="Arial" w:eastAsia="Arial" w:hAnsi="Arial"/>
          <w:sz w:val="18"/>
          <w:szCs w:val="18"/>
          <w:color w:val="auto"/>
        </w:rPr>
      </w:pPr>
    </w:p>
    <w:p>
      <w:pPr>
        <w:ind w:left="960" w:right="520" w:hanging="412"/>
        <w:spacing w:after="0" w:line="263" w:lineRule="auto"/>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960" w:right="180" w:hanging="412"/>
        <w:spacing w:after="0" w:line="342" w:lineRule="auto"/>
        <w:tabs>
          <w:tab w:leader="none" w:pos="9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960" w:hanging="412"/>
        <w:spacing w:after="0"/>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right="80" w:firstLine="546"/>
        <w:spacing w:after="0" w:line="275"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Annual Report on Form 10-K. In particular, we have not included in this Annual Report, and do not intend to include in our 2021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71"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9" w:name="page90"/>
    <w:bookmarkEnd w:id="89"/>
    <w:p>
      <w:pPr>
        <w:ind w:right="220"/>
        <w:spacing w:after="0" w:line="277" w:lineRule="auto"/>
        <w:rPr>
          <w:sz w:val="20"/>
          <w:szCs w:val="20"/>
          <w:color w:val="auto"/>
        </w:rPr>
      </w:pPr>
      <w:r>
        <w:rPr>
          <w:rFonts w:ascii="Arial" w:cs="Arial" w:eastAsia="Arial" w:hAnsi="Arial"/>
          <w:sz w:val="18"/>
          <w:szCs w:val="18"/>
          <w:color w:val="auto"/>
        </w:rPr>
        <w:t>annual revenue is less than $100 million) as of June 30 in any given year, which would allow us to take advantage of many of the same exemptions from disclosure requirements.</w:t>
      </w:r>
    </w:p>
    <w:p>
      <w:pPr>
        <w:spacing w:after="0" w:line="278" w:lineRule="exact"/>
        <w:rPr>
          <w:sz w:val="20"/>
          <w:szCs w:val="20"/>
          <w:color w:val="auto"/>
        </w:rPr>
      </w:pPr>
    </w:p>
    <w:p>
      <w:pPr>
        <w:ind w:left="560" w:right="74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62"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p>
    <w:p>
      <w:pPr>
        <w:spacing w:after="0" w:line="195"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p>
    <w:p>
      <w:pPr>
        <w:spacing w:after="0" w:line="289" w:lineRule="exact"/>
        <w:rPr>
          <w:sz w:val="20"/>
          <w:szCs w:val="20"/>
          <w:color w:val="auto"/>
        </w:rPr>
      </w:pPr>
    </w:p>
    <w:p>
      <w:pPr>
        <w:jc w:val="both"/>
        <w:ind w:left="560" w:right="38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may identify other areas for further attention or improvement. Inferior internal controls could also cause investors to lose confidence in our reported financial information, which could have a negative effect on the trading price of our stock.</w:t>
      </w:r>
    </w:p>
    <w:p>
      <w:pPr>
        <w:spacing w:after="0" w:line="195"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00" w:lineRule="exact"/>
        <w:rPr>
          <w:sz w:val="20"/>
          <w:szCs w:val="20"/>
          <w:color w:val="auto"/>
        </w:rPr>
      </w:pPr>
    </w:p>
    <w:p>
      <w:pPr>
        <w:ind w:left="560" w:right="100"/>
        <w:spacing w:after="0" w:line="257" w:lineRule="auto"/>
        <w:rPr>
          <w:sz w:val="20"/>
          <w:szCs w:val="20"/>
          <w:color w:val="auto"/>
        </w:rPr>
      </w:pPr>
      <w:r>
        <w:rPr>
          <w:rFonts w:ascii="Arial" w:cs="Arial" w:eastAsia="Arial" w:hAnsi="Arial"/>
          <w:sz w:val="18"/>
          <w:szCs w:val="18"/>
          <w:b w:val="1"/>
          <w:bCs w:val="1"/>
          <w:i w:val="1"/>
          <w:iCs w:val="1"/>
          <w:color w:val="auto"/>
        </w:rPr>
        <w:t>We and our independent registered public accounting firm previously identified material weaknesses in our internal control over financial reporting, which have now been remediated. Nevertheless, if we experience additional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0" w:name="page91"/>
    <w:bookmarkEnd w:id="90"/>
    <w:p>
      <w:pPr>
        <w:ind w:right="40" w:firstLine="546"/>
        <w:spacing w:after="0" w:line="275" w:lineRule="auto"/>
        <w:rPr>
          <w:sz w:val="20"/>
          <w:szCs w:val="20"/>
          <w:color w:val="auto"/>
        </w:rPr>
      </w:pPr>
      <w:r>
        <w:rPr>
          <w:rFonts w:ascii="Arial" w:cs="Arial" w:eastAsia="Arial" w:hAnsi="Arial"/>
          <w:sz w:val="17"/>
          <w:szCs w:val="17"/>
          <w:color w:val="auto"/>
        </w:rPr>
        <w:t>In our Annual Report on Form 10-K for the year ended December 31, 2018, we reported material weaknesses in our internal control over financial reporting related to deficiencies in our controls over the financial statement close process, including over complex accounting issues, expense classification and accrued research and development expenses, as well as the cash disbursement process. During 2018 and 2019, we took a number of actions to improve our internal control over financial reporting to remediate these material weaknesses. As a result of these efforts, management has concluded that the previously disclosed material weaknesses have been remediated as of December 31, 2020.</w:t>
      </w:r>
    </w:p>
    <w:p>
      <w:pPr>
        <w:spacing w:after="0" w:line="176"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We expect to continue our efforts to improve our control processes, though there can be no assurance that our efforts will ultimately be successful or avoid potential future material weaknesses, and we expect to continue incurring additional costs as a result of these efforts. If we are unable to successfully remediate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300"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right="140" w:firstLine="546"/>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March 1, 2021, holders of an aggregate of approximately 4.5 million shares of our common stock will have rights, subject to certain conditions, to require us to file registration statements covering their shares or to include their shares in registration statements that we may file for ourselves or other stockholders. In addition, shares reserved for issuance upon the exercise of stock options outstanding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80" w:firstLine="546"/>
        <w:spacing w:after="0" w:line="296"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1" w:name="page92"/>
    <w:bookmarkEnd w:id="91"/>
    <w:p>
      <w:pPr>
        <w:ind w:left="560" w:right="38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76"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6" w:lineRule="exact"/>
        <w:rPr>
          <w:sz w:val="20"/>
          <w:szCs w:val="20"/>
          <w:color w:val="auto"/>
        </w:rPr>
      </w:pPr>
    </w:p>
    <w:p>
      <w:pPr>
        <w:ind w:left="960" w:right="500" w:hanging="412"/>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960" w:right="240" w:hanging="412"/>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960" w:right="580" w:hanging="412"/>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960" w:hanging="412"/>
        <w:spacing w:after="0" w:line="263"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60" w:firstLine="546"/>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6"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w:t>
      </w:r>
    </w:p>
    <w:p>
      <w:pPr>
        <w:spacing w:after="0" w:line="2" w:lineRule="exact"/>
        <w:rPr>
          <w:sz w:val="20"/>
          <w:szCs w:val="20"/>
          <w:color w:val="auto"/>
        </w:rPr>
      </w:pPr>
    </w:p>
    <w:p>
      <w:pPr>
        <w:ind w:firstLine="8"/>
        <w:spacing w:after="0" w:line="251" w:lineRule="auto"/>
        <w:tabs>
          <w:tab w:leader="none" w:pos="2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92" w:name="page93"/>
    <w:bookmarkEnd w:id="92"/>
    <w:p>
      <w:pPr>
        <w:ind w:right="20" w:firstLine="546"/>
        <w:spacing w:after="0" w:line="269" w:lineRule="auto"/>
        <w:rPr>
          <w:sz w:val="20"/>
          <w:szCs w:val="20"/>
          <w:color w:val="auto"/>
        </w:rPr>
      </w:pPr>
      <w:r>
        <w:rPr>
          <w:rFonts w:ascii="Arial" w:cs="Arial" w:eastAsia="Arial" w:hAnsi="Arial"/>
          <w:sz w:val="17"/>
          <w:szCs w:val="17"/>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The COVID-19 pandemic has caused extreme volatility and disruptions in the capital and credit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272"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p>
      <w:pPr>
        <w:ind w:left="560" w:right="3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business data,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17" w:lineRule="exact"/>
        <w:rPr>
          <w:sz w:val="20"/>
          <w:szCs w:val="20"/>
          <w:color w:val="auto"/>
        </w:rPr>
      </w:pPr>
    </w:p>
    <w:p>
      <w:pPr>
        <w:jc w:val="both"/>
        <w:ind w:right="60" w:firstLine="546"/>
        <w:spacing w:after="0" w:line="287"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w:t>
      </w:r>
    </w:p>
    <w:p>
      <w:pPr>
        <w:spacing w:after="0" w:line="2"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802"/>
        <w:spacing w:after="0" w:line="287" w:lineRule="auto"/>
        <w:rPr>
          <w:sz w:val="20"/>
          <w:szCs w:val="20"/>
          <w:color w:val="auto"/>
        </w:rPr>
      </w:pPr>
      <w:r>
        <w:rPr>
          <w:rFonts w:ascii="Arial" w:cs="Arial" w:eastAsia="Arial" w:hAnsi="Arial"/>
          <w:sz w:val="16"/>
          <w:szCs w:val="16"/>
          <w:color w:val="auto"/>
        </w:rPr>
        <w:t>Our corporate headquarters are located in Cambridge, Massachusetts. Our current leased facility for our corporate headquarters encompasses approximately 11,218 square feet of office space. The lease for this facility expires in January 2023. In August 2018, we entered into a sub-lease for 13,643 square feet of laboratory space located in Cambridge Massachusetts, which expires in April 2022. In June 2020, we entered into a lease agreement for</w:t>
      </w:r>
    </w:p>
    <w:p>
      <w:pPr>
        <w:spacing w:after="0" w:line="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3,885 square feet office space located in Toronto, Ontario, Canada, which expires in June 2025. We believe that our office and laboratory space is sufficient to meet our current needs and that suitable additional space or alternative space will be available as needed on commercially reasonable terms.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60" w:firstLine="546"/>
        <w:spacing w:after="0" w:line="257"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Annual Report on Form 10-K, we are not presently subject to any pending or threatened litigation that we believe,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5" w:name="page96"/>
    <w:bookmarkEnd w:id="95"/>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580"/>
        <w:spacing w:after="0" w:line="377" w:lineRule="auto"/>
        <w:rPr>
          <w:sz w:val="20"/>
          <w:szCs w:val="20"/>
          <w:color w:val="auto"/>
        </w:rPr>
      </w:pPr>
      <w:r>
        <w:rPr>
          <w:rFonts w:ascii="Arial" w:cs="Arial" w:eastAsia="Arial" w:hAnsi="Arial"/>
          <w:sz w:val="18"/>
          <w:szCs w:val="18"/>
          <w:b w:val="1"/>
          <w:bCs w:val="1"/>
          <w:color w:val="auto"/>
        </w:rPr>
        <w:t xml:space="preserve">Item 5. Market for the Registrant’s Common Equity, Related Stockholder Matters and Issuer Purchases of Equity Securities </w:t>
      </w:r>
      <w:r>
        <w:rPr>
          <w:rFonts w:ascii="Arial" w:cs="Arial" w:eastAsia="Arial" w:hAnsi="Arial"/>
          <w:sz w:val="18"/>
          <w:szCs w:val="18"/>
          <w:i w:val="1"/>
          <w:iCs w:val="1"/>
          <w:color w:val="auto"/>
        </w:rPr>
        <w:t>Market Information</w:t>
      </w:r>
    </w:p>
    <w:p>
      <w:pPr>
        <w:spacing w:after="0" w:line="2"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Our common stock is traded on the Nasdaq Global Select Market under the symbol “AVRO”. Trading of our common stock commenced on June 21, 2018, following the completion of our initial public offering. Prior to that time, there was no established public trading market for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 of Common Stock</w:t>
      </w:r>
    </w:p>
    <w:p>
      <w:pPr>
        <w:spacing w:after="0" w:line="117" w:lineRule="exact"/>
        <w:rPr>
          <w:sz w:val="20"/>
          <w:szCs w:val="20"/>
          <w:color w:val="auto"/>
        </w:rPr>
      </w:pPr>
    </w:p>
    <w:p>
      <w:pPr>
        <w:ind w:right="120" w:firstLine="546"/>
        <w:spacing w:after="0" w:line="263" w:lineRule="auto"/>
        <w:rPr>
          <w:sz w:val="20"/>
          <w:szCs w:val="20"/>
          <w:color w:val="auto"/>
        </w:rPr>
      </w:pPr>
      <w:r>
        <w:rPr>
          <w:rFonts w:ascii="Arial" w:cs="Arial" w:eastAsia="Arial" w:hAnsi="Arial"/>
          <w:sz w:val="18"/>
          <w:szCs w:val="18"/>
          <w:color w:val="auto"/>
        </w:rPr>
        <w:t>As of March 5, 2021, the number of holders of record of our common stock was eight. The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 Plans</w:t>
      </w:r>
    </w:p>
    <w:p>
      <w:pPr>
        <w:spacing w:after="0" w:line="117"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sell any unregistered equity securities during the period covered by this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i w:val="1"/>
          <w:iCs w:val="1"/>
          <w:color w:val="auto"/>
        </w:rPr>
        <w:t>Our management’s discussion and analysis of our financial condition and results of operations are based upon our consolidated financial statements included in this Annual Report on Form 10-K, which have been prepared by us in accordance with United States generally accepted accounting principles, or GAAP, and with Regulation S-X promulgated under the Securities Exchange Act of 1934, as amended. This discussion and analysis should be read in conjunction with the consolidated financial statements and the notes thereto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Part I, Item 1A. Risk Factors of this Annual Report on Form 10-K, our actual results could differ materially from the results described in or implied by the forward-looking statements contained in the following discussion and analysis.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46"/>
        <w:spacing w:after="0" w:line="271" w:lineRule="auto"/>
        <w:rPr>
          <w:sz w:val="20"/>
          <w:szCs w:val="20"/>
          <w:color w:val="auto"/>
        </w:rPr>
      </w:pPr>
      <w:r>
        <w:rPr>
          <w:rFonts w:ascii="Arial" w:cs="Arial" w:eastAsia="Arial" w:hAnsi="Arial"/>
          <w:sz w:val="17"/>
          <w:szCs w:val="17"/>
          <w:color w:val="auto"/>
        </w:rPr>
        <w:t xml:space="preserve">We are a leading clinical-stage gene therapy company with a mission to free people from a lifetime of genetic disease. Our company is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patients with rare diseases following a single dose treatment regimen. Our gene therapies employ hematopoietic stem cells that are harvested from the patient and then modified with a lentiviral vector to insert the equivalent of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disorders, some of which today are primarily managed with enzyme replacement therapies, or ERTs. These lysosomal disorders have well-understood biologies, identified patient populations, established standards of care yet with significant unmet needs, and represent large market opportunities with approximately $4.8 billion in worldwide net sales in 2020.</w:t>
      </w:r>
    </w:p>
    <w:p>
      <w:pPr>
        <w:spacing w:after="0" w:line="178"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Our initial pipeline is comprised of six lentiviral-based gene therapy programs: AVR-RD-01 for the treatment of Fabry disease; AVR-RD-04 for the treatment of cystinosis; AVR-RD-02 for the treatment of Gaucher disease type 1; AVR-RD-05 for the treatment of Hunter syndrome; AVR-RD-06 for the treatment of Gaucher disease type 3; and AVR-RD-03 for the treatment of Pompe disease. AVR-RD-01 is currently being evaluated for the treatment of Fabry disease in an investigator-sponsored Phase 1 clinical trial and a Company-sponsored Phase 2 clinical trial. Five patients have been dosed in the investigator-sponsored Phase 1 clinical trial of AVR-RD-01, and enrollment is complete. Five patients have been dosed in our Company-sponsored Phase 2 clinical trial of AVR-RD-01, which we refer to as the FAB-GT clinical trial, and we are actively recruiting additional potential patients for our currently active sites in Australia, Canada and the United States. AVR-RD-04 is currently being studied for the treatment of cystinosis by our collaborators at the University of California, San Diego, or UCSD, in a Phase 1/2 investigator-sponsored clinical trial, and three patients have been dosed. One patient has been dosed in our Company-sponsored Phase 1/2 clinical trial of AVR-RD-02 for the treatment of Gaucher disease, which we refer to as the Guard1 clinical trial, and we are actively recruiting in Australia and Canada, with additional sites planned in the United States, Israel and Europe. AVR-RD-05 is being studied for the treatment of Hunter syndrome by our collaborators at The University of Manchester, and a Phase 1/2 investigator-sponsored clinical trial is expected to commence in the first half of 2022. In November 2020, we announced a new preclinical program, AVR-RD-06 for the treatment of Gaucher disease type 3, and we expect to request a meeting with the Food and Drug Administration, or FDA, this year to discuss a potential path to the clinic. Our AVR-RD-03 program for Pompe disease is currently in preclinical development, and in 2020 we completed IND-enabling proof-of-concept preclinical studies, with toxicology studies expected to be completed in 2021.</w:t>
      </w:r>
    </w:p>
    <w:p>
      <w:pPr>
        <w:spacing w:after="0" w:line="167" w:lineRule="exact"/>
        <w:rPr>
          <w:sz w:val="20"/>
          <w:szCs w:val="20"/>
          <w:color w:val="auto"/>
        </w:rPr>
      </w:pPr>
    </w:p>
    <w:p>
      <w:pPr>
        <w:ind w:right="200" w:firstLine="546"/>
        <w:spacing w:after="0" w:line="291" w:lineRule="auto"/>
        <w:rPr>
          <w:sz w:val="20"/>
          <w:szCs w:val="20"/>
          <w:color w:val="auto"/>
        </w:rPr>
      </w:pPr>
      <w:r>
        <w:rPr>
          <w:rFonts w:ascii="Arial" w:cs="Arial" w:eastAsia="Arial" w:hAnsi="Arial"/>
          <w:sz w:val="16"/>
          <w:szCs w:val="16"/>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To date, we have not generated any product revenue and have financed our operations primarily through the private placement of our securities and through public offerings of our common stock. Through December 31, 2020,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and gross cash proceeds, before deducting commissions and expenses, of $8.5 million from sales of our common stock through our “at-the-market” (ATM) facility.</w:t>
      </w:r>
    </w:p>
    <w:p>
      <w:pPr>
        <w:spacing w:after="0" w:line="166" w:lineRule="exact"/>
        <w:rPr>
          <w:sz w:val="20"/>
          <w:szCs w:val="20"/>
          <w:color w:val="auto"/>
        </w:rPr>
      </w:pPr>
    </w:p>
    <w:p>
      <w:pPr>
        <w:jc w:val="both"/>
        <w:ind w:right="240" w:firstLine="546"/>
        <w:spacing w:after="0" w:line="263" w:lineRule="auto"/>
        <w:rPr>
          <w:sz w:val="20"/>
          <w:szCs w:val="20"/>
          <w:color w:val="auto"/>
        </w:rPr>
      </w:pPr>
      <w:r>
        <w:rPr>
          <w:rFonts w:ascii="Arial" w:cs="Arial" w:eastAsia="Arial" w:hAnsi="Arial"/>
          <w:sz w:val="18"/>
          <w:szCs w:val="18"/>
          <w:color w:val="auto"/>
        </w:rPr>
        <w:t>Additionally,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$119.7 million and $73.0 million for the years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ind w:right="20"/>
        <w:spacing w:after="0" w:line="272" w:lineRule="auto"/>
        <w:rPr>
          <w:sz w:val="20"/>
          <w:szCs w:val="20"/>
          <w:color w:val="auto"/>
        </w:rPr>
      </w:pPr>
      <w:r>
        <w:rPr>
          <w:rFonts w:ascii="Arial" w:cs="Arial" w:eastAsia="Arial" w:hAnsi="Arial"/>
          <w:sz w:val="17"/>
          <w:szCs w:val="17"/>
          <w:color w:val="auto"/>
        </w:rPr>
        <w:t>ended December 31, 2020 and 2019, respectively. As of December 31, 2020, we had an accumulated deficit of $264.4 million. We expect to continue to incur significant expenses for at least the next several years as we advance our current and future product candidates from discovery through preclinical development and clinical trials and seek regulatory approval of our product candidates. We have expanded the number of programs in our pipeline to a total of six investigational gene therapies, three of which are currently in clinical development. As a result, further development of these programs will require us to expend significant resources to advance these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w:t>
      </w:r>
    </w:p>
    <w:p>
      <w:pPr>
        <w:spacing w:after="0" w:line="177" w:lineRule="exact"/>
        <w:rPr>
          <w:sz w:val="20"/>
          <w:szCs w:val="20"/>
          <w:color w:val="auto"/>
        </w:rPr>
      </w:pPr>
    </w:p>
    <w:p>
      <w:pPr>
        <w:ind w:right="20" w:firstLine="546"/>
        <w:spacing w:after="0" w:line="271" w:lineRule="auto"/>
        <w:rPr>
          <w:sz w:val="20"/>
          <w:szCs w:val="20"/>
          <w:color w:val="auto"/>
        </w:rPr>
      </w:pPr>
      <w:r>
        <w:rPr>
          <w:rFonts w:ascii="Arial" w:cs="Arial" w:eastAsia="Arial" w:hAnsi="Arial"/>
          <w:sz w:val="17"/>
          <w:szCs w:val="17"/>
          <w:color w:val="auto"/>
        </w:rPr>
        <w:t>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follow-on offerings.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8" w:lineRule="exact"/>
        <w:rPr>
          <w:sz w:val="20"/>
          <w:szCs w:val="20"/>
          <w:color w:val="auto"/>
        </w:rPr>
      </w:pPr>
    </w:p>
    <w:p>
      <w:pPr>
        <w:jc w:val="both"/>
        <w:ind w:right="120" w:firstLine="546"/>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right="260" w:firstLine="546"/>
        <w:spacing w:after="0" w:line="301" w:lineRule="auto"/>
        <w:rPr>
          <w:sz w:val="20"/>
          <w:szCs w:val="20"/>
          <w:color w:val="auto"/>
        </w:rPr>
      </w:pPr>
      <w:r>
        <w:rPr>
          <w:rFonts w:ascii="Arial" w:cs="Arial" w:eastAsia="Arial" w:hAnsi="Arial"/>
          <w:sz w:val="16"/>
          <w:szCs w:val="16"/>
          <w:color w:val="auto"/>
        </w:rPr>
        <w:t>As of December 31, 2020, we had cash and cash equivalents of $259.7 million. We believe that our existing cash and cash equivalents as of December 31, 2020 will enable us to fund our operating expenses and capital expenditure requirements into the first quarter of 2023. We have based this estimate on assumptions that may prove to be wrong, and we could exhaust our available capital resources sooner than we expect. See “</w:t>
      </w:r>
      <w:r>
        <w:rPr>
          <w:rFonts w:ascii="Arial" w:cs="Arial" w:eastAsia="Arial" w:hAnsi="Arial"/>
          <w:sz w:val="16"/>
          <w:szCs w:val="16"/>
          <w:i w:val="1"/>
          <w:iCs w:val="1"/>
          <w:color w:val="auto"/>
        </w:rPr>
        <w:t>Liquidity and</w:t>
      </w:r>
      <w:r>
        <w:rPr>
          <w:rFonts w:ascii="Arial" w:cs="Arial" w:eastAsia="Arial" w:hAnsi="Arial"/>
          <w:sz w:val="16"/>
          <w:szCs w:val="16"/>
          <w:color w:val="auto"/>
        </w:rPr>
        <w:t xml:space="preserve"> </w:t>
      </w:r>
      <w:r>
        <w:rPr>
          <w:rFonts w:ascii="Arial" w:cs="Arial" w:eastAsia="Arial" w:hAnsi="Arial"/>
          <w:sz w:val="16"/>
          <w:szCs w:val="16"/>
          <w:i w:val="1"/>
          <w:iCs w:val="1"/>
          <w:color w:val="auto"/>
        </w:rPr>
        <w:t>Capital Resources.</w:t>
      </w:r>
      <w:r>
        <w:rPr>
          <w:rFonts w:ascii="Arial" w:cs="Arial" w:eastAsia="Arial" w:hAnsi="Arial"/>
          <w:sz w:val="16"/>
          <w:szCs w:val="16"/>
          <w:color w:val="auto"/>
        </w:rPr>
        <w:t>” To finance our operations beyond that point, we will need to raise additional capital, which cannot be assured.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40" w:firstLine="546"/>
        <w:spacing w:after="0" w:line="263"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76" w:lineRule="exact"/>
        <w:rPr>
          <w:sz w:val="20"/>
          <w:szCs w:val="20"/>
          <w:color w:val="auto"/>
        </w:rPr>
      </w:pPr>
    </w:p>
    <w:p>
      <w:pPr>
        <w:ind w:left="960" w:hanging="412"/>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44" w:lineRule="exact"/>
        <w:rPr>
          <w:rFonts w:ascii="Arial" w:cs="Arial" w:eastAsia="Arial" w:hAnsi="Arial"/>
          <w:sz w:val="18"/>
          <w:szCs w:val="18"/>
          <w:color w:val="auto"/>
        </w:rPr>
      </w:pPr>
    </w:p>
    <w:p>
      <w:pPr>
        <w:ind w:left="960" w:right="180" w:hanging="412"/>
        <w:spacing w:after="0" w:line="342" w:lineRule="auto"/>
        <w:tabs>
          <w:tab w:leader="none" w:pos="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15" w:lineRule="exact"/>
        <w:rPr>
          <w:rFonts w:ascii="Arial" w:cs="Arial" w:eastAsia="Arial" w:hAnsi="Arial"/>
          <w:sz w:val="16"/>
          <w:szCs w:val="16"/>
          <w:color w:val="auto"/>
        </w:rPr>
      </w:pPr>
    </w:p>
    <w:p>
      <w:pPr>
        <w:ind w:left="960" w:hanging="412"/>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62" w:lineRule="exact"/>
        <w:rPr>
          <w:rFonts w:ascii="Arial" w:cs="Arial" w:eastAsia="Arial" w:hAnsi="Arial"/>
          <w:sz w:val="18"/>
          <w:szCs w:val="18"/>
          <w:color w:val="auto"/>
        </w:rPr>
      </w:pPr>
    </w:p>
    <w:p>
      <w:pPr>
        <w:ind w:left="960" w:hanging="412"/>
        <w:spacing w:after="0" w:line="207" w:lineRule="exact"/>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of purchasing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our preclinical activities;</w:t>
      </w:r>
    </w:p>
    <w:p>
      <w:pPr>
        <w:spacing w:after="0" w:line="144" w:lineRule="exact"/>
        <w:rPr>
          <w:rFonts w:ascii="Arial" w:cs="Arial" w:eastAsia="Arial" w:hAnsi="Arial"/>
          <w:sz w:val="18"/>
          <w:szCs w:val="18"/>
          <w:color w:val="auto"/>
        </w:rPr>
      </w:pPr>
    </w:p>
    <w:p>
      <w:pPr>
        <w:ind w:left="960" w:right="520" w:hanging="412"/>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8" w:name="page99"/>
    <w:bookmarkEnd w:id="98"/>
    <w:p>
      <w:pPr>
        <w:ind w:firstLine="546"/>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right="300" w:firstLine="546"/>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our research and development expenses related to our product candidates (in thousands):</w:t>
      </w:r>
    </w:p>
    <w:p>
      <w:pPr>
        <w:spacing w:after="0" w:line="230"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Year Ended</w:t>
      </w:r>
    </w:p>
    <w:p>
      <w:pPr>
        <w:jc w:val="center"/>
        <w:ind w:left="5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5"/>
        </w:trPr>
        <w:tc>
          <w:tcPr>
            <w:tcW w:w="53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Fabry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9,833</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Gaucher</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7,546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6,591</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Pompe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Cystinosis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4,177</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Hunter</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Other research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4,451</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24,200</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87,236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54,974</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46"/>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9" w:lineRule="exact"/>
        <w:rPr>
          <w:sz w:val="20"/>
          <w:szCs w:val="20"/>
          <w:color w:val="auto"/>
        </w:rPr>
      </w:pPr>
    </w:p>
    <w:p>
      <w:pPr>
        <w:ind w:left="960" w:hanging="412"/>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167" w:lineRule="exact"/>
        <w:rPr>
          <w:rFonts w:ascii="Arial" w:cs="Arial" w:eastAsia="Arial" w:hAnsi="Arial"/>
          <w:sz w:val="16"/>
          <w:szCs w:val="16"/>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99" w:name="page100"/>
    <w:bookmarkEnd w:id="99"/>
    <w:p>
      <w:pPr>
        <w:ind w:left="960" w:hanging="41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risks disclosed in the section entitled “Risk Factors” of this Annual Report on Form 10-K.</w:t>
      </w:r>
    </w:p>
    <w:p>
      <w:pPr>
        <w:spacing w:after="0" w:line="252" w:lineRule="exact"/>
        <w:rPr>
          <w:sz w:val="20"/>
          <w:szCs w:val="20"/>
          <w:color w:val="auto"/>
        </w:rPr>
      </w:pPr>
    </w:p>
    <w:p>
      <w:pPr>
        <w:ind w:right="120" w:firstLine="546"/>
        <w:spacing w:after="0" w:line="289" w:lineRule="auto"/>
        <w:rPr>
          <w:sz w:val="20"/>
          <w:szCs w:val="20"/>
          <w:color w:val="auto"/>
        </w:rPr>
      </w:pPr>
      <w:r>
        <w:rPr>
          <w:rFonts w:ascii="Arial" w:cs="Arial" w:eastAsia="Arial" w:hAnsi="Arial"/>
          <w:sz w:val="16"/>
          <w:szCs w:val="16"/>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60" w:firstLine="546"/>
        <w:spacing w:after="0" w:line="263"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increased accounting, audit, legal,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other commercialization-related expenses as a result of our preparation for commercial operations, especially as it relates to the sales and marketing of our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Other income (expense), net primarily consists of interest income earned on our cash and cash equivalents and changes in foreign currency.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consolidated results of operations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4"/>
          </w:tcPr>
          <w:p>
            <w:pPr>
              <w:jc w:val="right"/>
              <w:ind w:right="67"/>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87,236</w:t>
            </w:r>
          </w:p>
        </w:tc>
        <w:tc>
          <w:tcPr>
            <w:tcW w:w="160" w:type="dxa"/>
            <w:vAlign w:val="bottom"/>
          </w:tcPr>
          <w:p>
            <w:pPr>
              <w:spacing w:after="0"/>
              <w:rPr>
                <w:sz w:val="19"/>
                <w:szCs w:val="19"/>
                <w:color w:val="auto"/>
              </w:rPr>
            </w:pPr>
          </w:p>
        </w:tc>
        <w:tc>
          <w:tcPr>
            <w:tcW w:w="4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54,974</w:t>
            </w:r>
          </w:p>
        </w:tc>
        <w:tc>
          <w:tcPr>
            <w:tcW w:w="2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32,262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20,835</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2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120,228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75,809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44,419</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(75,809)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 income (expense):</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2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(2,215)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net</w:t>
            </w:r>
          </w:p>
        </w:tc>
        <w:tc>
          <w:tcPr>
            <w:tcW w:w="2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2,844</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Net loss</w:t>
            </w:r>
          </w:p>
        </w:tc>
        <w:tc>
          <w:tcPr>
            <w:tcW w:w="23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(72,965)</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340" w:type="dxa"/>
            <w:vAlign w:val="bottom"/>
            <w:vMerge w:val="restart"/>
          </w:tcPr>
          <w:p>
            <w:pPr>
              <w:jc w:val="right"/>
              <w:ind w:right="730"/>
              <w:spacing w:after="0"/>
              <w:rPr>
                <w:sz w:val="20"/>
                <w:szCs w:val="20"/>
                <w:color w:val="auto"/>
              </w:rPr>
            </w:pPr>
            <w:r>
              <w:rPr>
                <w:rFonts w:ascii="Arial" w:cs="Arial" w:eastAsia="Arial" w:hAnsi="Arial"/>
                <w:sz w:val="18"/>
                <w:szCs w:val="18"/>
                <w:color w:val="auto"/>
              </w:rPr>
              <w:t>94</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0" w:name="page101"/>
    <w:bookmarkEnd w:id="100"/>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Research and development expenses increased by $32.3 million to $87.2 million for the year ended December 31, 2020, from approximately</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$55.0 million for the year ended December 31, 2019. This increase was attributable to increased program development activities related to the advancement of our pipeline programs, including a $11.7 million increase in personnel-related costs, $9.1 million in one-time, upfront licensing fees, including payment to The University of Manchester as consideration for the MPSII License Agreement, a $4.6 million increase in noncash stock-based compensation, a $5.7 million increase in clinical costs, a $2.1 million increase in facility costs, a $1.9 million increase in consulting fees, a $0.8 million increase in lab supplies expense, and a $1.1 million increase in other expenses. These increases were partially off-set by a $2.0 million one-time licensing fee paid in 2019, a $2.1 million decrease in preclinical costs, and a $0.6 million decrease in manufacturing costs.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jc w:val="both"/>
        <w:ind w:right="80" w:firstLine="546"/>
        <w:spacing w:after="0" w:line="259" w:lineRule="auto"/>
        <w:rPr>
          <w:sz w:val="20"/>
          <w:szCs w:val="20"/>
          <w:color w:val="auto"/>
        </w:rPr>
      </w:pPr>
      <w:r>
        <w:rPr>
          <w:rFonts w:ascii="Arial" w:cs="Arial" w:eastAsia="Arial" w:hAnsi="Arial"/>
          <w:sz w:val="18"/>
          <w:szCs w:val="18"/>
          <w:color w:val="auto"/>
        </w:rPr>
        <w:t>General and administrative expenses increased by $12.2 million to $33.0 million for the year ended December 31, 2020, from $20.8 million for the year ended December 31, 2019. This increase was attributable to a $4.3 million increase in non-cash stock-based compensation, a $3.6 million increase in personnel-related costs, a $2.1 million increase in professional fees, a $1.0 million increase in facility costs, a $0.6 million increase in insurance costs, and $0.6 million in other expenses.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Other income, net decreased by $2.3 million to $0.5 million in other income, net during the fiscal year ended December 31, 2020, from $2.8 million other income, net for the year ended December 31, 2019. The decrease was primarily due to a $2.2 million decrease in interest income and an approximate increase in foreign currency losses of $0.1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initial public offering, or IPO, and we have raised additional capital through subsequent follow-on offerings and our “at-the-market” facility, or ATM facility. Through December 31, 2020, we had received gross cash proceeds of $87.5 million from sales of our preferred stock; gross cash proceeds, before deducting underwriting discounts and commissions and expenses, of $428.1 million from sales of our common stock through our IPO and follow-on public offerings; and $8.5 million in gross proceeds from the sale of our common stock under our ATM Facility.</w:t>
      </w:r>
    </w:p>
    <w:p>
      <w:pPr>
        <w:spacing w:after="0" w:line="178" w:lineRule="exact"/>
        <w:rPr>
          <w:sz w:val="20"/>
          <w:szCs w:val="20"/>
          <w:color w:val="auto"/>
        </w:rPr>
      </w:pPr>
    </w:p>
    <w:p>
      <w:pPr>
        <w:ind w:right="120" w:firstLine="546"/>
        <w:spacing w:after="0" w:line="301" w:lineRule="auto"/>
        <w:rPr>
          <w:sz w:val="20"/>
          <w:szCs w:val="20"/>
          <w:color w:val="auto"/>
        </w:rPr>
      </w:pPr>
      <w:r>
        <w:rPr>
          <w:rFonts w:ascii="Arial" w:cs="Arial" w:eastAsia="Arial" w:hAnsi="Arial"/>
          <w:sz w:val="16"/>
          <w:szCs w:val="16"/>
          <w:color w:val="auto"/>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ATM offerings under the July 2019 Shelf. The July 2019 Shelf was declared effective by the SEC on July 10, 2019.</w:t>
      </w:r>
    </w:p>
    <w:p>
      <w:pPr>
        <w:spacing w:after="0" w:line="157"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p>
    <w:p>
      <w:pPr>
        <w:spacing w:after="0" w:line="184"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In July 2019, we closed an underwritten public offering, or the July 2019 Follow-On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less underwriting discounts and commissions. The net proceeds to us from this offering, after deducting underwriting discounts and commissions and other offering expenses payable by us, were $129.5 million.</w:t>
      </w:r>
    </w:p>
    <w:p>
      <w:pPr>
        <w:spacing w:after="0" w:line="171" w:lineRule="exact"/>
        <w:rPr>
          <w:sz w:val="20"/>
          <w:szCs w:val="20"/>
          <w:color w:val="auto"/>
        </w:rPr>
      </w:pPr>
    </w:p>
    <w:p>
      <w:pPr>
        <w:ind w:right="100" w:firstLine="546"/>
        <w:spacing w:after="0" w:line="311" w:lineRule="auto"/>
        <w:rPr>
          <w:sz w:val="20"/>
          <w:szCs w:val="20"/>
          <w:color w:val="auto"/>
        </w:rPr>
      </w:pPr>
      <w:r>
        <w:rPr>
          <w:rFonts w:ascii="Arial" w:cs="Arial" w:eastAsia="Arial" w:hAnsi="Arial"/>
          <w:sz w:val="16"/>
          <w:szCs w:val="16"/>
          <w:color w:val="auto"/>
        </w:rPr>
        <w:t>In February 2020, we closed an underwritten public offering, or the February 2020 Follow-On Offering, under the December 2019 Shelf of 4,350,000 shares of our common stock at a public offering price of $23.00 per share, less underwriting discounts and commissions. The net proceeds to us from this offering, after deducting underwriting discounts and commissions and other offering expenses payable by us, were $93.6 million.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01" w:name="page102"/>
    <w:bookmarkEnd w:id="101"/>
    <w:p>
      <w:pPr>
        <w:ind w:right="140" w:firstLine="546"/>
        <w:spacing w:after="0" w:line="263" w:lineRule="auto"/>
        <w:rPr>
          <w:sz w:val="20"/>
          <w:szCs w:val="20"/>
          <w:color w:val="auto"/>
        </w:rPr>
      </w:pPr>
      <w:r>
        <w:rPr>
          <w:rFonts w:ascii="Arial" w:cs="Arial" w:eastAsia="Arial" w:hAnsi="Arial"/>
          <w:sz w:val="18"/>
          <w:szCs w:val="18"/>
          <w:color w:val="auto"/>
        </w:rPr>
        <w:t>In June 2020, we sold an aggregate of 384,140 shares of common stock under the ATM Facility for net proceeds, after deducting commissions and other offering expenses payable by us, of $8.1 million. As of December 31, 2020, approximately $41.5 million of common stock remained available for future issuance under the ATM Facility.</w:t>
      </w:r>
    </w:p>
    <w:p>
      <w:pPr>
        <w:spacing w:after="0" w:line="184" w:lineRule="exact"/>
        <w:rPr>
          <w:sz w:val="20"/>
          <w:szCs w:val="20"/>
          <w:color w:val="auto"/>
        </w:rPr>
      </w:pPr>
    </w:p>
    <w:p>
      <w:pPr>
        <w:ind w:right="60" w:firstLine="546"/>
        <w:spacing w:after="0" w:line="303" w:lineRule="auto"/>
        <w:rPr>
          <w:sz w:val="20"/>
          <w:szCs w:val="20"/>
          <w:color w:val="auto"/>
        </w:rPr>
      </w:pPr>
      <w:r>
        <w:rPr>
          <w:rFonts w:ascii="Arial" w:cs="Arial" w:eastAsia="Arial" w:hAnsi="Arial"/>
          <w:sz w:val="17"/>
          <w:szCs w:val="17"/>
          <w:color w:val="auto"/>
        </w:rPr>
        <w:t>In November 2020, we closed an underwritten public offering, or the November 2020 Follow-On Offering, of 5,000,000 shares of our common stock at a public offering price of $15.00 per share, less underwriting discounts and commissions. The net proceeds to us from the November 2020 Follow-On Offering, after deducting underwriting discounts and commissions and other offering expenses payable by us, were $70.2 million.</w:t>
      </w:r>
    </w:p>
    <w:p>
      <w:pPr>
        <w:spacing w:after="0" w:line="151"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As of December 31, 2020, we had cash and cash equivalents of $259.7 million. Cash in excess of immediate requirements is invested primarily with a view to liquidity and capital preservation. We believe that our existing cash and cash equivalents as of December 31, 2020 will enable us to fund our operating expenses and capital expenditure requirements into the first quarter of 2023.</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each of the periods presented (in thousands):</w:t>
      </w:r>
    </w:p>
    <w:p>
      <w:pPr>
        <w:spacing w:after="0" w:line="257" w:lineRule="exact"/>
        <w:rPr>
          <w:sz w:val="20"/>
          <w:szCs w:val="20"/>
          <w:color w:val="auto"/>
        </w:rPr>
      </w:pPr>
    </w:p>
    <w:p>
      <w:pPr>
        <w:jc w:val="center"/>
        <w:ind w:left="3900"/>
        <w:spacing w:after="0"/>
        <w:rPr>
          <w:sz w:val="20"/>
          <w:szCs w:val="20"/>
          <w:color w:val="auto"/>
        </w:rPr>
      </w:pPr>
      <w:r>
        <w:rPr>
          <w:rFonts w:ascii="Arial" w:cs="Arial" w:eastAsia="Arial" w:hAnsi="Arial"/>
          <w:sz w:val="14"/>
          <w:szCs w:val="14"/>
          <w:b w:val="1"/>
          <w:bCs w:val="1"/>
          <w:color w:val="auto"/>
        </w:rPr>
        <w:t>Year Ended</w:t>
      </w:r>
    </w:p>
    <w:p>
      <w:pPr>
        <w:jc w:val="center"/>
        <w:ind w:left="39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540" w:type="dxa"/>
        <w:tblCellMar>
          <w:top w:w="0" w:type="dxa"/>
          <w:left w:w="0" w:type="dxa"/>
          <w:bottom w:w="0" w:type="dxa"/>
          <w:right w:w="0" w:type="dxa"/>
        </w:tblCellMar>
      </w:tblPr>
      <w:tr>
        <w:trPr>
          <w:trHeight w:val="155"/>
        </w:trPr>
        <w:tc>
          <w:tcPr>
            <w:tcW w:w="486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(67,668)</w:t>
            </w:r>
          </w:p>
        </w:tc>
        <w:tc>
          <w:tcPr>
            <w:tcW w:w="80" w:type="dxa"/>
            <w:vAlign w:val="bottom"/>
            <w:shd w:val="clear" w:color="auto" w:fill="CFF0FC"/>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(1,177)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(1,585)</w:t>
            </w: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129,994</w:t>
            </w:r>
          </w:p>
        </w:tc>
        <w:tc>
          <w:tcPr>
            <w:tcW w:w="80" w:type="dxa"/>
            <w:vAlign w:val="bottom"/>
            <w:shd w:val="clear" w:color="auto" w:fill="CFF0FC"/>
          </w:tcPr>
          <w:p>
            <w:pPr>
              <w:spacing w:after="0"/>
              <w:rPr>
                <w:sz w:val="19"/>
                <w:szCs w:val="19"/>
                <w:color w:val="auto"/>
              </w:rPr>
            </w:pPr>
          </w:p>
        </w:tc>
      </w:tr>
      <w:tr>
        <w:trPr>
          <w:trHeight w:val="209"/>
        </w:trPr>
        <w:tc>
          <w:tcPr>
            <w:tcW w:w="4860" w:type="dxa"/>
            <w:vAlign w:val="bottom"/>
          </w:tcPr>
          <w:p>
            <w:pPr>
              <w:ind w:left="240"/>
              <w:spacing w:after="0"/>
              <w:rPr>
                <w:sz w:val="20"/>
                <w:szCs w:val="20"/>
                <w:color w:val="auto"/>
              </w:rPr>
            </w:pPr>
            <w:r>
              <w:rPr>
                <w:rFonts w:ascii="Arial" w:cs="Arial" w:eastAsia="Arial" w:hAnsi="Arial"/>
                <w:sz w:val="18"/>
                <w:szCs w:val="18"/>
                <w:color w:val="auto"/>
              </w:rPr>
              <w:t>Net increase in cash, cash equivalents and restricted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860" w:type="dxa"/>
            <w:vAlign w:val="bottom"/>
          </w:tcPr>
          <w:p>
            <w:pPr>
              <w:ind w:left="380"/>
              <w:spacing w:after="0"/>
              <w:rPr>
                <w:sz w:val="20"/>
                <w:szCs w:val="20"/>
                <w:color w:val="auto"/>
              </w:rPr>
            </w:pPr>
            <w:r>
              <w:rPr>
                <w:rFonts w:ascii="Arial" w:cs="Arial" w:eastAsia="Arial" w:hAnsi="Arial"/>
                <w:sz w:val="18"/>
                <w:szCs w:val="18"/>
                <w:color w:val="auto"/>
              </w:rPr>
              <w:t>cash</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72,639</w:t>
            </w:r>
          </w:p>
        </w:tc>
        <w:tc>
          <w:tcPr>
            <w:tcW w:w="200" w:type="dxa"/>
            <w:vAlign w:val="bottom"/>
          </w:tcPr>
          <w:p>
            <w:pPr>
              <w:spacing w:after="0"/>
              <w:rPr>
                <w:sz w:val="20"/>
                <w:szCs w:val="20"/>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60,741</w:t>
            </w:r>
          </w:p>
        </w:tc>
        <w:tc>
          <w:tcPr>
            <w:tcW w:w="80" w:type="dxa"/>
            <w:vAlign w:val="bottom"/>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0" w:firstLine="546"/>
        <w:spacing w:after="0" w:line="273" w:lineRule="auto"/>
        <w:rPr>
          <w:sz w:val="20"/>
          <w:szCs w:val="20"/>
          <w:color w:val="auto"/>
        </w:rPr>
      </w:pPr>
      <w:r>
        <w:rPr>
          <w:rFonts w:ascii="Arial" w:cs="Arial" w:eastAsia="Arial" w:hAnsi="Arial"/>
          <w:sz w:val="17"/>
          <w:szCs w:val="17"/>
          <w:color w:val="auto"/>
        </w:rPr>
        <w:t>During the year ended December 31, 2020, operating activities used $98.8 million of cash and cash equivalents, resulting from our net loss of $119.7 million, partially off-set by net cash provided by changes in our operating assets and liabilities of $4.2 million and non-cash charges of $16.7 million. Net cash provided by changes in our operating assets and liabilities for the year ended December 31, 2020 consists primarily of a $3.9 million increase in accrued expenses and other current liabilities, a $1.1 million decrease in prepaid expenses and other current assets and a $0.1 million decrease in other assets, partially offset by a $0.9 million decrease in accounts payable. The increase in accrued expenses and other current liabilities was primarily due to a $3.4 million increase in accrued compensation and benefit costs.</w:t>
      </w:r>
    </w:p>
    <w:p>
      <w:pPr>
        <w:spacing w:after="0" w:line="178"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During the year ended December 31, 2019, operating activities used $67.7 million of cash and cash equivalents, resulting from our net loss of $73.0 million and net cash used by changes in our operating assets and liabilities of $2.2 million, offset in part by non-cash charges of $7.5 million. Net cash used by changes in our operating assets and liabilities for the year ended December 31, 2019 consisted primarily of a $4.9 million increase in prepaid expenses and other current assets and a $0.2 million increase in other assets, partially offset by a $1.0 million increase in accounts payable and a $1.9 million increase in accrued expenses and other current liabilities. The increase in prepaid expenses and other current assets was primarily due to a $3.9 million increase in prepaid development costs, $0.6 million increase in prepaid insurance and a $0.6 million increase in a tax incentive refund receivable from the Australian government.</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840" w:firstLine="546"/>
        <w:spacing w:after="0" w:line="342" w:lineRule="auto"/>
        <w:rPr>
          <w:sz w:val="20"/>
          <w:szCs w:val="20"/>
          <w:color w:val="auto"/>
        </w:rPr>
      </w:pPr>
      <w:r>
        <w:rPr>
          <w:rFonts w:ascii="Arial" w:cs="Arial" w:eastAsia="Arial" w:hAnsi="Arial"/>
          <w:sz w:val="16"/>
          <w:szCs w:val="16"/>
          <w:color w:val="auto"/>
        </w:rPr>
        <w:t>Net cash used in investing activities was $1.2 million for the year ended December 31, 2020 compared to $1.6 million for the year ended December 31, 2019. The decrease in cash used in investing activities was primarily due to a reduction in purchases of property and equipment.</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Net cash provided by financing activities was $172.6 million for the year ended December 31, 2020 compared to $130.0 million for the year ended December 31, 2019. The increase in cash provided by financing activities was primarily due to the proceeds of $164.1 million raised from the February Follow-On Offering and November 2020 Follow-On Offering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2" w:name="page103"/>
    <w:bookmarkEnd w:id="102"/>
    <w:p>
      <w:pPr>
        <w:ind w:right="60"/>
        <w:spacing w:after="0" w:line="277" w:lineRule="auto"/>
        <w:rPr>
          <w:sz w:val="20"/>
          <w:szCs w:val="20"/>
          <w:color w:val="auto"/>
        </w:rPr>
      </w:pPr>
      <w:r>
        <w:rPr>
          <w:rFonts w:ascii="Arial" w:cs="Arial" w:eastAsia="Arial" w:hAnsi="Arial"/>
          <w:sz w:val="18"/>
          <w:szCs w:val="18"/>
          <w:color w:val="auto"/>
        </w:rPr>
        <w:t>and proceeds of $8.1 million raised from our ATM facility, as compared to the $129.5 million in proceeds raised from the July 2019 Follow-On Offering in the comparative period.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Our expenses will also increase as we:</w:t>
      </w:r>
    </w:p>
    <w:p>
      <w:pPr>
        <w:spacing w:after="0" w:line="62" w:lineRule="exact"/>
        <w:rPr>
          <w:sz w:val="20"/>
          <w:szCs w:val="20"/>
          <w:color w:val="auto"/>
        </w:rPr>
      </w:pPr>
    </w:p>
    <w:p>
      <w:pPr>
        <w:ind w:left="960" w:right="180" w:hanging="41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FAB-GT clinical trial for AVR-RD-01, the ongoing investigator-sponsored clinical trial of AVR-RD-04 and our ongoing clinical trial of AVR-RD-02;</w:t>
      </w:r>
    </w:p>
    <w:p>
      <w:pPr>
        <w:spacing w:after="0" w:line="62" w:lineRule="exact"/>
        <w:rPr>
          <w:rFonts w:ascii="Arial" w:cs="Arial" w:eastAsia="Arial" w:hAnsi="Arial"/>
          <w:sz w:val="18"/>
          <w:szCs w:val="18"/>
          <w:color w:val="auto"/>
        </w:rPr>
      </w:pPr>
    </w:p>
    <w:p>
      <w:pPr>
        <w:ind w:left="960" w:hanging="41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initiate additional clinical trials, including the planned investigator-sponsored clinical trial of AVR-RD-05, and preclinical studies for our other current and future product candidates;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44" w:lineRule="exact"/>
        <w:rPr>
          <w:rFonts w:ascii="Arial" w:cs="Arial" w:eastAsia="Arial" w:hAnsi="Arial"/>
          <w:sz w:val="18"/>
          <w:szCs w:val="18"/>
          <w:color w:val="auto"/>
        </w:rPr>
      </w:pPr>
    </w:p>
    <w:p>
      <w:pPr>
        <w:ind w:left="960" w:right="520" w:hanging="41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44" w:lineRule="exact"/>
        <w:rPr>
          <w:rFonts w:ascii="Arial" w:cs="Arial" w:eastAsia="Arial" w:hAnsi="Arial"/>
          <w:sz w:val="18"/>
          <w:szCs w:val="18"/>
          <w:color w:val="auto"/>
        </w:rPr>
      </w:pPr>
    </w:p>
    <w:p>
      <w:pPr>
        <w:ind w:left="960" w:right="220" w:hanging="41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expand our infrastructure, office space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52" w:lineRule="exact"/>
        <w:rPr>
          <w:sz w:val="20"/>
          <w:szCs w:val="20"/>
          <w:color w:val="auto"/>
        </w:rPr>
      </w:pPr>
    </w:p>
    <w:p>
      <w:pPr>
        <w:ind w:right="120" w:firstLine="546"/>
        <w:spacing w:after="0" w:line="257" w:lineRule="auto"/>
        <w:rPr>
          <w:sz w:val="20"/>
          <w:szCs w:val="20"/>
          <w:color w:val="auto"/>
        </w:rPr>
      </w:pPr>
      <w:r>
        <w:rPr>
          <w:rFonts w:ascii="Arial" w:cs="Arial" w:eastAsia="Arial" w:hAnsi="Arial"/>
          <w:sz w:val="18"/>
          <w:szCs w:val="18"/>
          <w:color w:val="auto"/>
        </w:rPr>
        <w:t>We believe that our $259.7 million of existing cash and cash equivalents as of December 31, 2020, will enable us to fund our operating expenses and capital expenditure requirements into the first quarter of 2023. We have based these estimates on assumptions that may prove to be wrong, and we could utilize our available capital resources sooner than we expect. If we receive regulatory approval for any of our product candidates, we expect to incur significant commercialization expenses related to product manufacturing, sales, marketing and distribution, depending on where we choose to commercialize.</w:t>
      </w:r>
    </w:p>
    <w:p>
      <w:pPr>
        <w:spacing w:after="0" w:line="188"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2020 and the effects that such obligations are expected to have on our liquidity and cash flows in future periods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00" w:type="dxa"/>
            <w:vAlign w:val="bottom"/>
          </w:tcPr>
          <w:p>
            <w:pPr>
              <w:jc w:val="right"/>
              <w:ind w:right="159"/>
              <w:spacing w:after="0" w:line="133" w:lineRule="exact"/>
              <w:rPr>
                <w:sz w:val="20"/>
                <w:szCs w:val="20"/>
                <w:color w:val="auto"/>
              </w:rPr>
            </w:pPr>
            <w:r>
              <w:rPr>
                <w:rFonts w:ascii="Arial" w:cs="Arial" w:eastAsia="Arial" w:hAnsi="Arial"/>
                <w:sz w:val="14"/>
                <w:szCs w:val="14"/>
                <w:b w:val="1"/>
                <w:bCs w:val="1"/>
                <w:color w:val="auto"/>
                <w:w w:val="97"/>
              </w:rPr>
              <w:t>Less than</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2"/>
              </w:rPr>
              <w:t>1 to 3</w:t>
            </w:r>
          </w:p>
        </w:tc>
        <w:tc>
          <w:tcPr>
            <w:tcW w:w="240" w:type="dxa"/>
            <w:vAlign w:val="bottom"/>
          </w:tcPr>
          <w:p>
            <w:pPr>
              <w:spacing w:after="0"/>
              <w:rPr>
                <w:sz w:val="11"/>
                <w:szCs w:val="11"/>
                <w:color w:val="auto"/>
              </w:rPr>
            </w:pPr>
          </w:p>
        </w:tc>
        <w:tc>
          <w:tcPr>
            <w:tcW w:w="840" w:type="dxa"/>
            <w:vAlign w:val="bottom"/>
          </w:tcPr>
          <w:p>
            <w:pPr>
              <w:jc w:val="right"/>
              <w:ind w:right="279"/>
              <w:spacing w:after="0" w:line="133" w:lineRule="exact"/>
              <w:rPr>
                <w:sz w:val="20"/>
                <w:szCs w:val="20"/>
                <w:color w:val="auto"/>
              </w:rPr>
            </w:pPr>
            <w:r>
              <w:rPr>
                <w:rFonts w:ascii="Arial" w:cs="Arial" w:eastAsia="Arial" w:hAnsi="Arial"/>
                <w:sz w:val="14"/>
                <w:szCs w:val="14"/>
                <w:b w:val="1"/>
                <w:bCs w:val="1"/>
                <w:color w:val="auto"/>
              </w:rPr>
              <w:t>4 to 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59"/>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Years</w:t>
            </w:r>
          </w:p>
        </w:tc>
        <w:tc>
          <w:tcPr>
            <w:tcW w:w="240" w:type="dxa"/>
            <w:vAlign w:val="bottom"/>
          </w:tcPr>
          <w:p>
            <w:pPr>
              <w:spacing w:after="0"/>
              <w:rPr>
                <w:sz w:val="14"/>
                <w:szCs w:val="14"/>
                <w:color w:val="auto"/>
              </w:rPr>
            </w:pPr>
          </w:p>
        </w:tc>
        <w:tc>
          <w:tcPr>
            <w:tcW w:w="840" w:type="dxa"/>
            <w:vAlign w:val="bottom"/>
          </w:tcPr>
          <w:p>
            <w:pPr>
              <w:jc w:val="right"/>
              <w:ind w:right="279"/>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commitments (1)</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3" w:name="page104"/>
    <w:bookmarkEnd w:id="103"/>
    <w:p>
      <w:pPr>
        <w:ind w:left="540" w:right="260" w:hanging="532"/>
        <w:spacing w:after="0" w:line="263"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non-cancelable operating leases for office and laboratory space, which are located in Cambridge, Massachusetts and Toronto, Canada. Those leases will expire from April 2022 to June 2025. The minimum lease payments above do not include any related common area maintenance charges or real estate taxes.</w:t>
      </w:r>
    </w:p>
    <w:p>
      <w:pPr>
        <w:spacing w:after="0" w:line="184"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We enter into contracts in the normal course of business with CROs, CMOs and other third parties for clinical trials, preclinical research studies and testing and manufacturing services.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p>
    <w:p>
      <w:pPr>
        <w:spacing w:after="0" w:line="187" w:lineRule="exact"/>
        <w:rPr>
          <w:sz w:val="20"/>
          <w:szCs w:val="20"/>
          <w:color w:val="auto"/>
        </w:rPr>
      </w:pPr>
    </w:p>
    <w:p>
      <w:pPr>
        <w:jc w:val="both"/>
        <w:ind w:right="460" w:firstLine="546"/>
        <w:spacing w:after="0" w:line="263" w:lineRule="auto"/>
        <w:rPr>
          <w:sz w:val="20"/>
          <w:szCs w:val="20"/>
          <w:color w:val="auto"/>
        </w:rPr>
      </w:pPr>
      <w:r>
        <w:rPr>
          <w:rFonts w:ascii="Arial" w:cs="Arial" w:eastAsia="Arial" w:hAnsi="Arial"/>
          <w:sz w:val="18"/>
          <w:szCs w:val="18"/>
          <w:color w:val="auto"/>
        </w:rPr>
        <w:t>In addition, pursuant to our license agreements with UHN, BioMarin, The University of Manchester, GenStem and the Lund University rights holders, we are required to make certain milestone and royalty payments to our licensors. See “Business—License Agreements” for additional details regarding our payment obligations to these licensors.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jc w:val="both"/>
        <w:ind w:right="120" w:firstLine="546"/>
        <w:spacing w:after="0" w:line="263" w:lineRule="auto"/>
        <w:rPr>
          <w:sz w:val="20"/>
          <w:szCs w:val="20"/>
          <w:color w:val="auto"/>
        </w:rPr>
      </w:pPr>
      <w:r>
        <w:rPr>
          <w:rFonts w:ascii="Arial" w:cs="Arial" w:eastAsia="Arial" w:hAnsi="Arial"/>
          <w:sz w:val="18"/>
          <w:szCs w:val="18"/>
          <w:color w:val="auto"/>
        </w:rPr>
        <w:t xml:space="preserve">While our significant accounting policies are described in more detail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appearing elsewhere in this Annual Report, we believe that the following accounting policies are those most critical to the judgments and estimates used in the preparation of our consolidated financial statements.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40" w:firstLine="546"/>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58" w:lineRule="exact"/>
        <w:rPr>
          <w:sz w:val="20"/>
          <w:szCs w:val="20"/>
          <w:color w:val="auto"/>
        </w:rPr>
      </w:pPr>
    </w:p>
    <w:p>
      <w:pPr>
        <w:ind w:left="960" w:hanging="41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52" w:lineRule="exact"/>
        <w:rPr>
          <w:sz w:val="20"/>
          <w:szCs w:val="20"/>
          <w:color w:val="auto"/>
        </w:rPr>
      </w:pPr>
    </w:p>
    <w:p>
      <w:pPr>
        <w:ind w:right="180" w:firstLine="546"/>
        <w:spacing w:after="0" w:line="253" w:lineRule="auto"/>
        <w:rPr>
          <w:sz w:val="20"/>
          <w:szCs w:val="20"/>
          <w:color w:val="auto"/>
        </w:rPr>
      </w:pPr>
      <w:r>
        <w:rPr>
          <w:rFonts w:ascii="Arial" w:cs="Arial" w:eastAsia="Arial" w:hAnsi="Arial"/>
          <w:sz w:val="18"/>
          <w:szCs w:val="18"/>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4" w:name="page105"/>
    <w:bookmarkEnd w:id="104"/>
    <w:p>
      <w:pPr>
        <w:ind w:right="100"/>
        <w:spacing w:after="0" w:line="277" w:lineRule="auto"/>
        <w:rPr>
          <w:sz w:val="20"/>
          <w:szCs w:val="20"/>
          <w:color w:val="auto"/>
        </w:rPr>
      </w:pPr>
      <w:r>
        <w:rPr>
          <w:rFonts w:ascii="Arial" w:cs="Arial" w:eastAsia="Arial" w:hAnsi="Arial"/>
          <w:sz w:val="18"/>
          <w:szCs w:val="18"/>
          <w:color w:val="auto"/>
        </w:rPr>
        <w:t>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We measure stock options and other stock-based awards granted to employees and members of our board of directors for their services as directors based on the fair value on the date of the grant and recognize the corresponding compensation expense of those awards over the requisite service period, which is generally the vesting period of the respective award. We have issued stock options, restricted stock and restricted stock units with service-based vesting conditions.</w:t>
      </w:r>
    </w:p>
    <w:p>
      <w:pPr>
        <w:spacing w:after="0" w:line="187" w:lineRule="exact"/>
        <w:rPr>
          <w:sz w:val="20"/>
          <w:szCs w:val="20"/>
          <w:color w:val="auto"/>
        </w:rPr>
      </w:pPr>
    </w:p>
    <w:p>
      <w:pPr>
        <w:ind w:right="40" w:firstLine="546"/>
        <w:spacing w:after="0" w:line="273" w:lineRule="auto"/>
        <w:rPr>
          <w:sz w:val="20"/>
          <w:szCs w:val="20"/>
          <w:color w:val="auto"/>
        </w:rPr>
      </w:pPr>
      <w:r>
        <w:rPr>
          <w:rFonts w:ascii="Arial" w:cs="Arial" w:eastAsia="Arial" w:hAnsi="Arial"/>
          <w:sz w:val="17"/>
          <w:szCs w:val="17"/>
          <w:color w:val="auto"/>
        </w:rPr>
        <w:t xml:space="preserve">Prior to the adoption of Accounting Standards Update (ASU) No. 2018-07, </w:t>
      </w:r>
      <w:r>
        <w:rPr>
          <w:rFonts w:ascii="Arial" w:cs="Arial" w:eastAsia="Arial" w:hAnsi="Arial"/>
          <w:sz w:val="17"/>
          <w:szCs w:val="17"/>
          <w:i w:val="1"/>
          <w:iCs w:val="1"/>
          <w:color w:val="auto"/>
        </w:rPr>
        <w:t>Compensation—Stock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Nonemployee Share-Based Payment Accounting (ASU 2018-07)</w:t>
      </w:r>
      <w:r>
        <w:rPr>
          <w:rFonts w:ascii="Arial" w:cs="Arial" w:eastAsia="Arial" w:hAnsi="Arial"/>
          <w:sz w:val="17"/>
          <w:szCs w:val="17"/>
          <w:color w:val="auto"/>
        </w:rPr>
        <w:t>, as discussed in Note 2</w:t>
      </w:r>
      <w:r>
        <w:rPr>
          <w:rFonts w:ascii="Arial" w:cs="Arial" w:eastAsia="Arial" w:hAnsi="Arial"/>
          <w:sz w:val="17"/>
          <w:szCs w:val="17"/>
          <w:i w:val="1"/>
          <w:iCs w:val="1"/>
          <w:color w:val="auto"/>
        </w:rPr>
        <w:t xml:space="preserve"> “Summary of Significant Accounting Policies” </w:t>
      </w:r>
      <w:r>
        <w:rPr>
          <w:rFonts w:ascii="Arial" w:cs="Arial" w:eastAsia="Arial" w:hAnsi="Arial"/>
          <w:sz w:val="17"/>
          <w:szCs w:val="17"/>
          <w:color w:val="auto"/>
        </w:rPr>
        <w:t>to our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appearing elsewhere in this Annual Report, the measurement date for non-employee awards was generally the date the services were completed, resulting in financial reporting period adjustments to stock-based compensation during the vesting terms for changes in the fair value of the awards. After the adoption of ASU 2018-07, the measurement date for non-employee awards is the later of the adoption date of ASU 2018-07, or the date of grant, without change in the fair value of the award.</w:t>
      </w:r>
    </w:p>
    <w:p>
      <w:pPr>
        <w:spacing w:after="0" w:line="178" w:lineRule="exact"/>
        <w:rPr>
          <w:sz w:val="20"/>
          <w:szCs w:val="20"/>
          <w:color w:val="auto"/>
        </w:rPr>
      </w:pPr>
    </w:p>
    <w:p>
      <w:pPr>
        <w:jc w:val="both"/>
        <w:ind w:right="20" w:firstLine="546"/>
        <w:spacing w:after="0" w:line="263" w:lineRule="auto"/>
        <w:rPr>
          <w:sz w:val="20"/>
          <w:szCs w:val="20"/>
          <w:color w:val="auto"/>
        </w:rPr>
      </w:pPr>
      <w:r>
        <w:rPr>
          <w:rFonts w:ascii="Arial" w:cs="Arial" w:eastAsia="Arial" w:hAnsi="Arial"/>
          <w:sz w:val="18"/>
          <w:szCs w:val="18"/>
          <w:color w:val="auto"/>
        </w:rPr>
        <w:t>We estimate the fair value of each stock option grant using the Black-Scholes option-pricing model, which uses as inputs the estimated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84"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We determined the assumptions for the Black-Scholes option-pricing model as discussed below. Each of these inputs is subjective and generally requires significant judgment to determine.</w:t>
      </w:r>
    </w:p>
    <w:p>
      <w:pPr>
        <w:spacing w:after="0" w:line="62" w:lineRule="exact"/>
        <w:rPr>
          <w:sz w:val="20"/>
          <w:szCs w:val="20"/>
          <w:color w:val="auto"/>
        </w:rPr>
      </w:pPr>
    </w:p>
    <w:p>
      <w:pPr>
        <w:ind w:left="960" w:hanging="412"/>
        <w:spacing w:after="0" w:line="289" w:lineRule="auto"/>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Determination of the Fair Value of Common Stock. </w:t>
      </w:r>
      <w:r>
        <w:rPr>
          <w:rFonts w:ascii="Arial" w:cs="Arial" w:eastAsia="Arial" w:hAnsi="Arial"/>
          <w:sz w:val="16"/>
          <w:szCs w:val="16"/>
          <w:color w:val="auto"/>
        </w:rPr>
        <w:t>The fair value of our common stock is determined based on the quoted market price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Prior to our IPO, there was no public market for our common stock, and consequently, the estimated fair value of our common stock was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After a public trading market for our common stock was established following the closing of our IPO, it was no longer necessary for our board of directors to estimate the fair market value of our common stock in connection with our accounting for granted equity awards.</w:t>
      </w:r>
    </w:p>
    <w:p>
      <w:pPr>
        <w:spacing w:after="0" w:line="58" w:lineRule="exact"/>
        <w:rPr>
          <w:rFonts w:ascii="Arial" w:cs="Arial" w:eastAsia="Arial" w:hAnsi="Arial"/>
          <w:sz w:val="16"/>
          <w:szCs w:val="16"/>
          <w:color w:val="auto"/>
        </w:rPr>
      </w:pPr>
    </w:p>
    <w:p>
      <w:pPr>
        <w:ind w:left="960" w:right="40" w:hanging="412"/>
        <w:spacing w:after="0" w:line="263"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granted has been determined using the simplified method, which uses the midpoint between the vesting date and the contractual term.</w:t>
      </w:r>
    </w:p>
    <w:p>
      <w:pPr>
        <w:spacing w:after="0" w:line="75" w:lineRule="exact"/>
        <w:rPr>
          <w:rFonts w:ascii="Arial" w:cs="Arial" w:eastAsia="Arial" w:hAnsi="Arial"/>
          <w:sz w:val="18"/>
          <w:szCs w:val="18"/>
          <w:color w:val="auto"/>
        </w:rPr>
      </w:pPr>
    </w:p>
    <w:p>
      <w:pPr>
        <w:ind w:left="960" w:right="80" w:hanging="412"/>
        <w:spacing w:after="0" w:line="277"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date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constant maturity notes with terms approximately equal to the stock-based award’s expected term.</w:t>
      </w:r>
    </w:p>
    <w:p>
      <w:pPr>
        <w:spacing w:after="0" w:line="62" w:lineRule="exact"/>
        <w:rPr>
          <w:rFonts w:ascii="Arial" w:cs="Arial" w:eastAsia="Arial" w:hAnsi="Arial"/>
          <w:sz w:val="18"/>
          <w:szCs w:val="18"/>
          <w:color w:val="auto"/>
        </w:rPr>
      </w:pPr>
    </w:p>
    <w:p>
      <w:pPr>
        <w:ind w:left="960" w:right="140" w:hanging="412"/>
        <w:spacing w:after="0" w:line="263"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Because we do not have long-term trading history of our common stock, the expected volatility was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historical stock volatilities of several public companies within our industry that we consider to be comparable to our business over a period equivalent to the expected term of the stock-based awards.</w:t>
      </w:r>
    </w:p>
    <w:p>
      <w:pPr>
        <w:spacing w:after="0" w:line="75" w:lineRule="exact"/>
        <w:rPr>
          <w:rFonts w:ascii="Arial" w:cs="Arial" w:eastAsia="Arial" w:hAnsi="Arial"/>
          <w:sz w:val="18"/>
          <w:szCs w:val="18"/>
          <w:color w:val="auto"/>
        </w:rPr>
      </w:pPr>
    </w:p>
    <w:p>
      <w:pPr>
        <w:ind w:left="960" w:hanging="412"/>
        <w:spacing w:after="0"/>
        <w:tabs>
          <w:tab w:leader="none" w:pos="96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The expected dividend is zero as we have not paid and do not anticipate paying any dividends in the foreseeable future.</w:t>
      </w:r>
    </w:p>
    <w:p>
      <w:pPr>
        <w:spacing w:after="0" w:line="264"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If any of the assumptions used in the Black-Scholes model change significantly, stock-based compensation for future awards may differ materially compared with the awards granted previously.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100" w:firstLine="546"/>
        <w:spacing w:after="0" w:line="269"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40" w:firstLine="54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546"/>
        <w:spacing w:after="0" w:line="308" w:lineRule="auto"/>
        <w:rPr>
          <w:sz w:val="20"/>
          <w:szCs w:val="20"/>
          <w:color w:val="auto"/>
        </w:rPr>
      </w:pPr>
      <w:r>
        <w:rPr>
          <w:rFonts w:ascii="Arial" w:cs="Arial" w:eastAsia="Arial" w:hAnsi="Arial"/>
          <w:sz w:val="17"/>
          <w:szCs w:val="17"/>
          <w:color w:val="auto"/>
        </w:rPr>
        <w:t xml:space="preserve">A description of recently issued accounting pronouncements that may potentially impact our financial position and results of operations is disclosed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to our audited financial statements appearing elsewhere in this Annual Report.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As of December 31, 2020, we had cash and cash equivalents of $259.7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00" w:firstLine="546"/>
        <w:spacing w:after="0" w:line="271" w:lineRule="auto"/>
        <w:rPr>
          <w:sz w:val="20"/>
          <w:szCs w:val="20"/>
          <w:color w:val="auto"/>
        </w:rPr>
      </w:pPr>
      <w:r>
        <w:rPr>
          <w:rFonts w:ascii="Arial" w:cs="Arial" w:eastAsia="Arial" w:hAnsi="Arial"/>
          <w:sz w:val="17"/>
          <w:szCs w:val="17"/>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years ended December 31, 2020 and 2019, we recognized immaterial foreign currency transaction losses.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and Canadian dollar would not have a material impact on our financial position or results of operations.</w:t>
      </w:r>
    </w:p>
    <w:p>
      <w:pPr>
        <w:spacing w:after="0" w:line="178" w:lineRule="exact"/>
        <w:rPr>
          <w:sz w:val="20"/>
          <w:szCs w:val="20"/>
          <w:color w:val="auto"/>
        </w:rPr>
      </w:pPr>
    </w:p>
    <w:p>
      <w:pPr>
        <w:ind w:right="340" w:firstLine="546"/>
        <w:spacing w:after="0" w:line="263"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All financial statements and supplementary data required to be filed hereunder are filed as listed under Item 15(a) of this Annual Report on Form 10-K and are incorporated herein by this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(our principal executive officer and principal financial officer, respectively), evaluated the effectiveness of our disclosure controls and procedures as of December 31,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5" w:lineRule="exact"/>
        <w:rPr>
          <w:sz w:val="20"/>
          <w:szCs w:val="20"/>
          <w:color w:val="auto"/>
        </w:rPr>
      </w:pPr>
    </w:p>
    <w:p>
      <w:pPr>
        <w:ind w:right="380" w:firstLine="546"/>
        <w:spacing w:after="0" w:line="263" w:lineRule="auto"/>
        <w:rPr>
          <w:sz w:val="20"/>
          <w:szCs w:val="20"/>
          <w:color w:val="auto"/>
        </w:rPr>
      </w:pPr>
      <w:r>
        <w:rPr>
          <w:rFonts w:ascii="Arial" w:cs="Arial" w:eastAsia="Arial" w:hAnsi="Arial"/>
          <w:sz w:val="18"/>
          <w:szCs w:val="18"/>
          <w:color w:val="auto"/>
        </w:rPr>
        <w:t>Based on the evaluation of our disclosure controls and procedures as of December 31, 2020, our Chief Executive Officer and Chief Financial Officer concluded that our disclosure controls and procedures were effective at a reasonable assurance level as of the end of the period covered by this Annual Report on Form 10-K.</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260" w:firstLine="546"/>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for the Company. Our internal control over financial reporting is designed to provide reasonable assurances regarding the reliability of financial reporting and the preparation of our consolidated financial statements in accordance with U.S. generally accepted accounting principles, or GAAP, and includes those policies and procedures that:</w:t>
      </w:r>
    </w:p>
    <w:p>
      <w:pPr>
        <w:spacing w:after="0" w:line="79" w:lineRule="exact"/>
        <w:rPr>
          <w:sz w:val="20"/>
          <w:szCs w:val="20"/>
          <w:color w:val="auto"/>
        </w:rPr>
      </w:pPr>
    </w:p>
    <w:p>
      <w:pPr>
        <w:ind w:left="940" w:right="60" w:hanging="392"/>
        <w:spacing w:after="0" w:line="277" w:lineRule="auto"/>
        <w:tabs>
          <w:tab w:leader="none" w:pos="9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940" w:right="440" w:hanging="392"/>
        <w:spacing w:after="0" w:line="263" w:lineRule="auto"/>
        <w:tabs>
          <w:tab w:leader="none" w:pos="9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75" w:lineRule="exact"/>
        <w:rPr>
          <w:rFonts w:ascii="Arial" w:cs="Arial" w:eastAsia="Arial" w:hAnsi="Arial"/>
          <w:sz w:val="18"/>
          <w:szCs w:val="18"/>
          <w:color w:val="auto"/>
        </w:rPr>
      </w:pPr>
    </w:p>
    <w:p>
      <w:pPr>
        <w:ind w:left="940" w:right="60" w:hanging="392"/>
        <w:spacing w:after="0" w:line="277" w:lineRule="auto"/>
        <w:tabs>
          <w:tab w:leader="none" w:pos="9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or compliance with the policies or procedures may deteriorate.</w:t>
      </w:r>
    </w:p>
    <w:p>
      <w:pPr>
        <w:spacing w:after="0" w:line="292" w:lineRule="exact"/>
        <w:rPr>
          <w:sz w:val="20"/>
          <w:szCs w:val="20"/>
          <w:color w:val="auto"/>
        </w:rPr>
      </w:pPr>
    </w:p>
    <w:p>
      <w:pPr>
        <w:ind w:right="140" w:firstLine="546"/>
        <w:spacing w:after="0" w:line="259" w:lineRule="auto"/>
        <w:rPr>
          <w:sz w:val="20"/>
          <w:szCs w:val="20"/>
          <w:color w:val="auto"/>
        </w:rPr>
      </w:pPr>
      <w:r>
        <w:rPr>
          <w:rFonts w:ascii="Arial" w:cs="Arial" w:eastAsia="Arial" w:hAnsi="Arial"/>
          <w:sz w:val="18"/>
          <w:szCs w:val="18"/>
          <w:color w:val="auto"/>
        </w:rPr>
        <w:t>Our management, with the participation of its Chief Executive Officer and Chief Financial Officer, assessed our internal control over financial reporting as of December 31, 2020. Management based its assessment on criteria established in Internal Control—Integrated Framework issued by the Committee of Sponsoring Organizations of the Treadway Commission and concluded that our internal control over financial reporting was effective at the reasonable assurance level as of December 31, 2020.</w:t>
      </w:r>
    </w:p>
    <w:p>
      <w:pPr>
        <w:spacing w:after="0" w:line="79"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due to a transition period established by rules of the SEC for “emerging growth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Previously Reported Material Weaknesses</w:t>
      </w:r>
    </w:p>
    <w:p>
      <w:pPr>
        <w:spacing w:after="0" w:line="117" w:lineRule="exact"/>
        <w:rPr>
          <w:sz w:val="20"/>
          <w:szCs w:val="20"/>
          <w:color w:val="auto"/>
        </w:rPr>
      </w:pPr>
    </w:p>
    <w:p>
      <w:pPr>
        <w:ind w:right="180" w:firstLine="546"/>
        <w:spacing w:after="0" w:line="259" w:lineRule="auto"/>
        <w:rPr>
          <w:sz w:val="20"/>
          <w:szCs w:val="20"/>
          <w:color w:val="auto"/>
        </w:rPr>
      </w:pPr>
      <w:r>
        <w:rPr>
          <w:rFonts w:ascii="Arial" w:cs="Arial" w:eastAsia="Arial" w:hAnsi="Arial"/>
          <w:sz w:val="18"/>
          <w:szCs w:val="18"/>
          <w:color w:val="auto"/>
        </w:rPr>
        <w:t>During the year ended December 31, 2018, we reported material weaknesses in our internal control over financial reporting related to deficiencies in our controls over the financial statement close process, including over complex accounting issues, expense classification and accrued research and development expenses, as well as the cash disbursement process. We took a number of actions in 2018 and 2019 to improve our internal control over financial reporting to remediate these material weaknesses.</w:t>
      </w:r>
    </w:p>
    <w:p>
      <w:pPr>
        <w:spacing w:after="0" w:line="187" w:lineRule="exact"/>
        <w:rPr>
          <w:sz w:val="20"/>
          <w:szCs w:val="20"/>
          <w:color w:val="auto"/>
        </w:rPr>
      </w:pPr>
    </w:p>
    <w:p>
      <w:pPr>
        <w:ind w:right="240" w:firstLine="546"/>
        <w:spacing w:after="0" w:line="342" w:lineRule="auto"/>
        <w:rPr>
          <w:sz w:val="20"/>
          <w:szCs w:val="20"/>
          <w:color w:val="auto"/>
        </w:rPr>
      </w:pPr>
      <w:r>
        <w:rPr>
          <w:rFonts w:ascii="Arial" w:cs="Arial" w:eastAsia="Arial" w:hAnsi="Arial"/>
          <w:sz w:val="16"/>
          <w:szCs w:val="16"/>
          <w:color w:val="auto"/>
        </w:rPr>
        <w:t>For the year ended December 31, 2020, we completed our testing of the operating effectiveness of the implemented controls and determined they were effective. As a result, we have concluded the material weaknesses identified in fiscal year 2018 have been remediated as of December 31, 2020.</w:t>
      </w:r>
    </w:p>
    <w:p>
      <w:pPr>
        <w:spacing w:after="0" w:line="124" w:lineRule="exact"/>
        <w:rPr>
          <w:sz w:val="20"/>
          <w:szCs w:val="20"/>
          <w:color w:val="auto"/>
        </w:rPr>
      </w:pPr>
    </w:p>
    <w:p>
      <w:pPr>
        <w:ind w:right="40" w:firstLine="546"/>
        <w:spacing w:after="0" w:line="311" w:lineRule="auto"/>
        <w:rPr>
          <w:sz w:val="20"/>
          <w:szCs w:val="20"/>
          <w:color w:val="auto"/>
        </w:rPr>
      </w:pPr>
      <w:r>
        <w:rPr>
          <w:rFonts w:ascii="Arial" w:cs="Arial" w:eastAsia="Arial" w:hAnsi="Arial"/>
          <w:sz w:val="16"/>
          <w:szCs w:val="16"/>
          <w:color w:val="auto"/>
        </w:rPr>
        <w:t>We cannot assure you that material weaknesses or significant deficiencies will not occur in the future or that we will be able to remediate such weaknesses or deficiencies in a timely manner, which could impair our ability to accurately and timely report our financial position, results of operations or cash flows. For additional information see the related risks in the section titled “Risk Factors” in Part I, Section 1.A of this Annual Report.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 w:firstLine="546"/>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December 31, 2020 that has materially affected, or is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firstLine="546"/>
        <w:spacing w:after="0" w:line="311" w:lineRule="auto"/>
        <w:rPr>
          <w:sz w:val="20"/>
          <w:szCs w:val="20"/>
          <w:color w:val="auto"/>
        </w:rPr>
      </w:pPr>
      <w:r>
        <w:rPr>
          <w:rFonts w:ascii="Arial" w:cs="Arial" w:eastAsia="Arial" w:hAnsi="Arial"/>
          <w:sz w:val="16"/>
          <w:szCs w:val="16"/>
          <w:color w:val="auto"/>
        </w:rPr>
        <w:t>Certain information required by Part III is omitted from this Annual Report on Form 10-K and is incorporated by reference from our definitive proxy statement relating to our 2021 annual meeting of stockholders, pursuant to Regulation 14A of the Securities Exchange Act of 1934, as amended, also referred to in this Annual Report on Form 10-K as our 2021 Proxy Statement, which we expect to file with the SEC no later than April 30, 2021.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Information required by this item with respect to our directors and executive officers and compliance with Section 16(a) of the Exchange Act will be included in our 2021 Proxy Statement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The information required by this item regarding executive compensation will be included in our 2021 Proxy Statement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380" w:firstLine="546"/>
        <w:spacing w:after="0" w:line="308" w:lineRule="auto"/>
        <w:rPr>
          <w:sz w:val="20"/>
          <w:szCs w:val="20"/>
          <w:color w:val="auto"/>
        </w:rPr>
      </w:pPr>
      <w:r>
        <w:rPr>
          <w:rFonts w:ascii="Arial" w:cs="Arial" w:eastAsia="Arial" w:hAnsi="Arial"/>
          <w:sz w:val="17"/>
          <w:szCs w:val="17"/>
          <w:color w:val="auto"/>
        </w:rPr>
        <w:t>The information required by this item regarding security ownership of certain beneficial owners and management and securities authorized for issuance under equity compensation plans will be included in our 2021 Proxy Statement and is incorporated herein by reference.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340" w:firstLine="546"/>
        <w:spacing w:after="0" w:line="277"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will be included in our 2021 Proxy Statement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620" w:firstLine="546"/>
        <w:spacing w:after="0" w:line="277" w:lineRule="auto"/>
        <w:rPr>
          <w:sz w:val="20"/>
          <w:szCs w:val="20"/>
          <w:color w:val="auto"/>
        </w:rPr>
      </w:pPr>
      <w:r>
        <w:rPr>
          <w:rFonts w:ascii="Arial" w:cs="Arial" w:eastAsia="Arial" w:hAnsi="Arial"/>
          <w:sz w:val="18"/>
          <w:szCs w:val="18"/>
          <w:color w:val="auto"/>
        </w:rPr>
        <w:t>The information required by this item regarding principal accounting fees and services will be included in our 2021 Proxy Statement and is incorporated herein by reference.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9" w:name="page110"/>
    <w:bookmarkEnd w:id="109"/>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documents are included in this Annual Report on Form 10-K:</w:t>
      </w:r>
    </w:p>
    <w:p>
      <w:pPr>
        <w:spacing w:after="0" w:line="117" w:lineRule="exact"/>
        <w:rPr>
          <w:rFonts w:ascii="Arial" w:cs="Arial" w:eastAsia="Arial" w:hAnsi="Arial"/>
          <w:sz w:val="18"/>
          <w:szCs w:val="18"/>
          <w:color w:val="auto"/>
        </w:rPr>
      </w:pPr>
    </w:p>
    <w:p>
      <w:pPr>
        <w:ind w:left="880" w:right="1940" w:hanging="427"/>
        <w:spacing w:after="0" w:line="375" w:lineRule="auto"/>
        <w:tabs>
          <w:tab w:leader="none" w:pos="861"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following Report and Consolidated Financial Statements of the Company are included in this Annual Report: Report of Independent Registered Public Accounting Firm</w:t>
      </w:r>
    </w:p>
    <w:p>
      <w:pPr>
        <w:spacing w:after="0" w:line="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117" w:lineRule="exact"/>
        <w:rPr>
          <w:rFonts w:ascii="Arial" w:cs="Arial" w:eastAsia="Arial" w:hAnsi="Arial"/>
          <w:sz w:val="18"/>
          <w:szCs w:val="18"/>
          <w:color w:val="auto"/>
        </w:rPr>
      </w:pPr>
    </w:p>
    <w:p>
      <w:pPr>
        <w:ind w:left="880" w:right="5420"/>
        <w:spacing w:after="0" w:line="397" w:lineRule="auto"/>
        <w:rPr>
          <w:rFonts w:ascii="Arial" w:cs="Arial" w:eastAsia="Arial" w:hAnsi="Arial"/>
          <w:sz w:val="18"/>
          <w:szCs w:val="18"/>
          <w:color w:val="auto"/>
        </w:rPr>
      </w:pPr>
      <w:r>
        <w:rPr>
          <w:rFonts w:ascii="Arial" w:cs="Arial" w:eastAsia="Arial" w:hAnsi="Arial"/>
          <w:sz w:val="17"/>
          <w:szCs w:val="17"/>
          <w:color w:val="auto"/>
        </w:rPr>
        <w:t>Consolidated Statements of Operations and Comprehensive Loss Consolidated Statements of Stockholders’ Equity Consolidated Statements of Cash Flows</w:t>
      </w:r>
    </w:p>
    <w:p>
      <w:pPr>
        <w:spacing w:after="0" w:line="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860" w:hanging="407"/>
        <w:spacing w:after="0" w:line="277" w:lineRule="auto"/>
        <w:tabs>
          <w:tab w:leader="none" w:pos="8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financial schedules have been omitted because the required information is either presented in the consolidated financial statements or the notes thereto or is not applicable or required.</w:t>
      </w:r>
    </w:p>
    <w:p>
      <w:pPr>
        <w:spacing w:after="0" w:line="62" w:lineRule="exact"/>
        <w:rPr>
          <w:rFonts w:ascii="Arial" w:cs="Arial" w:eastAsia="Arial" w:hAnsi="Arial"/>
          <w:sz w:val="18"/>
          <w:szCs w:val="18"/>
          <w:color w:val="auto"/>
        </w:rPr>
      </w:pPr>
    </w:p>
    <w:p>
      <w:pPr>
        <w:ind w:left="860" w:right="80" w:hanging="407"/>
        <w:spacing w:after="0" w:line="263" w:lineRule="auto"/>
        <w:tabs>
          <w:tab w:leader="none" w:pos="8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337" w:right="59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vMerge w:val="restart"/>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Report of Independent Registered Public Accounting Firm</w:t>
              </w:r>
            </w:hyperlink>
          </w:p>
        </w:tc>
        <w:tc>
          <w:tcPr>
            <w:tcW w:w="584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5100" w:type="dxa"/>
            <w:vAlign w:val="bottom"/>
            <w:vMerge w:val="continue"/>
          </w:tcPr>
          <w:p>
            <w:pPr>
              <w:spacing w:after="0"/>
              <w:rPr>
                <w:sz w:val="16"/>
                <w:szCs w:val="16"/>
                <w:color w:val="auto"/>
              </w:rPr>
            </w:pPr>
          </w:p>
        </w:tc>
        <w:tc>
          <w:tcPr>
            <w:tcW w:w="584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Consolidated Balance Sheets</w:t>
              </w:r>
            </w:hyperlink>
          </w:p>
        </w:tc>
        <w:tc>
          <w:tcPr>
            <w:tcW w:w="58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5100" w:type="dxa"/>
            <w:vAlign w:val="bottom"/>
          </w:tcPr>
          <w:p>
            <w:pPr>
              <w:spacing w:after="0"/>
              <w:rPr>
                <w:rFonts w:ascii="Arial" w:cs="Arial" w:eastAsia="Arial" w:hAnsi="Arial"/>
                <w:sz w:val="18"/>
                <w:szCs w:val="18"/>
                <w:u w:val="single" w:color="auto"/>
                <w:color w:val="0000EE"/>
                <w:w w:val="97"/>
              </w:rPr>
            </w:pPr>
            <w:hyperlink w:anchor="page114">
              <w:r>
                <w:rPr>
                  <w:rFonts w:ascii="Arial" w:cs="Arial" w:eastAsia="Arial" w:hAnsi="Arial"/>
                  <w:sz w:val="18"/>
                  <w:szCs w:val="18"/>
                  <w:u w:val="single" w:color="auto"/>
                  <w:color w:val="0000EE"/>
                  <w:w w:val="97"/>
                </w:rPr>
                <w:t>Consolidated Statements of Operations and Comprehensive Loss</w:t>
              </w:r>
            </w:hyperlink>
          </w:p>
        </w:tc>
        <w:tc>
          <w:tcPr>
            <w:tcW w:w="58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510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Consolidated Statements of Stockholders’ Equity</w:t>
              </w:r>
            </w:hyperlink>
          </w:p>
        </w:tc>
        <w:tc>
          <w:tcPr>
            <w:tcW w:w="58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510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Consolidated Statements of Cash Flows</w:t>
              </w:r>
            </w:hyperlink>
          </w:p>
        </w:tc>
        <w:tc>
          <w:tcPr>
            <w:tcW w:w="58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510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Notes to Consolidated Financial Statements</w:t>
              </w:r>
            </w:hyperlink>
          </w:p>
        </w:tc>
        <w:tc>
          <w:tcPr>
            <w:tcW w:w="584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662"/>
        </w:trPr>
        <w:tc>
          <w:tcPr>
            <w:tcW w:w="5100" w:type="dxa"/>
            <w:vAlign w:val="bottom"/>
          </w:tcPr>
          <w:p>
            <w:pPr>
              <w:spacing w:after="0"/>
              <w:rPr>
                <w:sz w:val="24"/>
                <w:szCs w:val="24"/>
                <w:color w:val="auto"/>
              </w:rPr>
            </w:pPr>
          </w:p>
        </w:tc>
        <w:tc>
          <w:tcPr>
            <w:tcW w:w="6160" w:type="dxa"/>
            <w:vAlign w:val="bottom"/>
            <w:gridSpan w:val="3"/>
          </w:tcPr>
          <w:p>
            <w:pPr>
              <w:jc w:val="right"/>
              <w:ind w:right="55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5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11" w:name="page112"/>
    <w:bookmarkEnd w:id="111"/>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AVROBIO,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audited the accompanying consolidated balance sheets of AVROBIO, Inc. (the Company) as of December 31, 2020 and 2019, the related consolidated statements of operations and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years then ended, in conformity with U.S. generally accepted accounting principles.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0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Current assets: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259,682</w:t>
            </w:r>
          </w:p>
        </w:tc>
        <w:tc>
          <w:tcPr>
            <w:tcW w:w="1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271,234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5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2,682</w:t>
            </w:r>
          </w:p>
        </w:tc>
        <w:tc>
          <w:tcPr>
            <w:tcW w:w="180" w:type="dxa"/>
            <w:vAlign w:val="bottom"/>
          </w:tcPr>
          <w:p>
            <w:pPr>
              <w:spacing w:after="0"/>
              <w:rPr>
                <w:sz w:val="19"/>
                <w:szCs w:val="19"/>
                <w:color w:val="auto"/>
              </w:rPr>
            </w:pP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 net of current portion</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00" w:type="dxa"/>
            <w:vAlign w:val="bottom"/>
          </w:tcPr>
          <w:p>
            <w:pPr>
              <w:ind w:left="260"/>
              <w:spacing w:after="0"/>
              <w:rPr>
                <w:sz w:val="20"/>
                <w:szCs w:val="20"/>
                <w:color w:val="auto"/>
              </w:rPr>
            </w:pPr>
            <w:r>
              <w:rPr>
                <w:rFonts w:ascii="Arial" w:cs="Arial" w:eastAsia="Arial" w:hAnsi="Arial"/>
                <w:sz w:val="18"/>
                <w:szCs w:val="18"/>
                <w:color w:val="auto"/>
              </w:rPr>
              <w:t>Preferred stock, $0.0001 par value; 10,000 shares authorized and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380"/>
              <w:spacing w:after="0"/>
              <w:rPr>
                <w:sz w:val="20"/>
                <w:szCs w:val="20"/>
                <w:color w:val="auto"/>
              </w:rPr>
            </w:pPr>
            <w:r>
              <w:rPr>
                <w:rFonts w:ascii="Arial" w:cs="Arial" w:eastAsia="Arial" w:hAnsi="Arial"/>
                <w:sz w:val="18"/>
                <w:szCs w:val="18"/>
                <w:color w:val="auto"/>
              </w:rPr>
              <w:t>no shares issued or outstanding as of December 31, 2020 and 2019</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150,000 shares authorized as of</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2020 and 2019; 41,569 and 31,673 shares issued</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 of December 31, 2020 and 2019, respectively; 41,569 and 31,643</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outstanding as of December 31, 2020 and 2019, respectively</w:t>
            </w:r>
          </w:p>
        </w:tc>
        <w:tc>
          <w:tcPr>
            <w:tcW w:w="1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518,756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(264,416)</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(144,704)</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2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254,344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271,234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87,236</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32,992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120,228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(120,228)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(119,712)</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(72,965)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(119,712)</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(72,965)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89"/>
              <w:spacing w:after="0"/>
              <w:rPr>
                <w:sz w:val="20"/>
                <w:szCs w:val="20"/>
                <w:color w:val="auto"/>
              </w:rPr>
            </w:pPr>
            <w:r>
              <w:rPr>
                <w:rFonts w:ascii="Arial" w:cs="Arial" w:eastAsia="Arial" w:hAnsi="Arial"/>
                <w:sz w:val="13"/>
                <w:szCs w:val="13"/>
                <w:b w:val="1"/>
                <w:bCs w:val="1"/>
                <w:color w:val="auto"/>
              </w:rPr>
              <w:t>Additional</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Total</w:t>
            </w:r>
          </w:p>
        </w:tc>
      </w:tr>
      <w:tr>
        <w:trPr>
          <w:trHeight w:val="161"/>
        </w:trPr>
        <w:tc>
          <w:tcPr>
            <w:tcW w:w="378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289"/>
              <w:spacing w:after="0"/>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Stockholders’</w:t>
            </w:r>
          </w:p>
        </w:tc>
      </w:tr>
      <w:tr>
        <w:trPr>
          <w:trHeight w:val="156"/>
        </w:trPr>
        <w:tc>
          <w:tcPr>
            <w:tcW w:w="3780" w:type="dxa"/>
            <w:vAlign w:val="bottom"/>
          </w:tcPr>
          <w:p>
            <w:pPr>
              <w:spacing w:after="0"/>
              <w:rPr>
                <w:sz w:val="13"/>
                <w:szCs w:val="13"/>
                <w:color w:val="auto"/>
              </w:rPr>
            </w:pPr>
          </w:p>
        </w:tc>
        <w:tc>
          <w:tcPr>
            <w:tcW w:w="1120" w:type="dxa"/>
            <w:vAlign w:val="bottom"/>
          </w:tcPr>
          <w:p>
            <w:pPr>
              <w:jc w:val="right"/>
              <w:ind w:right="289"/>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3"/>
                <w:szCs w:val="13"/>
                <w:color w:val="auto"/>
              </w:rPr>
            </w:pPr>
          </w:p>
        </w:tc>
        <w:tc>
          <w:tcPr>
            <w:tcW w:w="880" w:type="dxa"/>
            <w:vAlign w:val="bottom"/>
          </w:tcPr>
          <w:p>
            <w:pPr>
              <w:jc w:val="right"/>
              <w:ind w:right="1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89"/>
              <w:spacing w:after="0"/>
              <w:rPr>
                <w:sz w:val="20"/>
                <w:szCs w:val="20"/>
                <w:color w:val="auto"/>
              </w:rPr>
            </w:pPr>
            <w:r>
              <w:rPr>
                <w:rFonts w:ascii="Arial" w:cs="Arial" w:eastAsia="Arial" w:hAnsi="Arial"/>
                <w:sz w:val="13"/>
                <w:szCs w:val="13"/>
                <w:b w:val="1"/>
                <w:bCs w:val="1"/>
                <w:color w:val="auto"/>
              </w:rPr>
              <w:t>Capital</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Equity</w:t>
            </w:r>
          </w:p>
        </w:tc>
      </w:tr>
      <w:tr>
        <w:trPr>
          <w:trHeight w:val="156"/>
        </w:trPr>
        <w:tc>
          <w:tcPr>
            <w:tcW w:w="37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December 31, 2018</w:t>
            </w: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23,807</w:t>
            </w:r>
          </w:p>
        </w:tc>
        <w:tc>
          <w:tcPr>
            <w:tcW w:w="28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ind w:right="730"/>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193,921</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(71,739)</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122,184</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tcPr>
          <w:p>
            <w:pPr>
              <w:ind w:left="260"/>
              <w:spacing w:after="0"/>
              <w:rPr>
                <w:sz w:val="20"/>
                <w:szCs w:val="20"/>
                <w:color w:val="auto"/>
              </w:rPr>
            </w:pPr>
            <w:r>
              <w:rPr>
                <w:rFonts w:ascii="Arial" w:cs="Arial" w:eastAsia="Arial" w:hAnsi="Arial"/>
                <w:sz w:val="14"/>
                <w:szCs w:val="14"/>
                <w:color w:val="auto"/>
              </w:rPr>
              <w:t>Vesting of restricted stock awards and units</w:t>
            </w:r>
          </w:p>
        </w:tc>
        <w:tc>
          <w:tcPr>
            <w:tcW w:w="1120" w:type="dxa"/>
            <w:vAlign w:val="bottom"/>
          </w:tcPr>
          <w:p>
            <w:pPr>
              <w:jc w:val="right"/>
              <w:spacing w:after="0"/>
              <w:rPr>
                <w:sz w:val="20"/>
                <w:szCs w:val="20"/>
                <w:color w:val="auto"/>
              </w:rPr>
            </w:pPr>
            <w:r>
              <w:rPr>
                <w:rFonts w:ascii="Arial" w:cs="Arial" w:eastAsia="Arial" w:hAnsi="Arial"/>
                <w:sz w:val="14"/>
                <w:szCs w:val="14"/>
                <w:color w:val="auto"/>
              </w:rPr>
              <w:t>123</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w:t>
            </w:r>
          </w:p>
        </w:tc>
        <w:tc>
          <w:tcPr>
            <w:tcW w:w="120" w:type="dxa"/>
            <w:vAlign w:val="bottom"/>
            <w:shd w:val="clear" w:color="auto" w:fill="CFF0FC"/>
          </w:tcPr>
          <w:p>
            <w:pPr>
              <w:spacing w:after="0"/>
              <w:rPr>
                <w:sz w:val="14"/>
                <w:szCs w:val="14"/>
                <w:color w:val="auto"/>
              </w:rPr>
            </w:pPr>
          </w:p>
        </w:tc>
      </w:tr>
      <w:tr>
        <w:trPr>
          <w:trHeight w:val="143"/>
        </w:trPr>
        <w:tc>
          <w:tcPr>
            <w:tcW w:w="37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 public</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3780" w:type="dxa"/>
            <w:vAlign w:val="bottom"/>
          </w:tcPr>
          <w:p>
            <w:pPr>
              <w:ind w:left="360"/>
              <w:spacing w:after="0"/>
              <w:rPr>
                <w:sz w:val="20"/>
                <w:szCs w:val="20"/>
                <w:color w:val="auto"/>
              </w:rPr>
            </w:pPr>
            <w:r>
              <w:rPr>
                <w:rFonts w:ascii="Arial" w:cs="Arial" w:eastAsia="Arial" w:hAnsi="Arial"/>
                <w:sz w:val="14"/>
                <w:szCs w:val="14"/>
                <w:color w:val="auto"/>
              </w:rPr>
              <w:t>offering, net of offering costs of $525</w:t>
            </w:r>
          </w:p>
        </w:tc>
        <w:tc>
          <w:tcPr>
            <w:tcW w:w="1120" w:type="dxa"/>
            <w:vAlign w:val="bottom"/>
          </w:tcPr>
          <w:p>
            <w:pPr>
              <w:jc w:val="right"/>
              <w:spacing w:after="0"/>
              <w:rPr>
                <w:sz w:val="20"/>
                <w:szCs w:val="20"/>
                <w:color w:val="auto"/>
              </w:rPr>
            </w:pPr>
            <w:r>
              <w:rPr>
                <w:rFonts w:ascii="Arial" w:cs="Arial" w:eastAsia="Arial" w:hAnsi="Arial"/>
                <w:sz w:val="14"/>
                <w:szCs w:val="14"/>
                <w:color w:val="auto"/>
              </w:rPr>
              <w:t>7,475</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129,464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129,465</w:t>
            </w:r>
          </w:p>
        </w:tc>
        <w:tc>
          <w:tcPr>
            <w:tcW w:w="120" w:type="dxa"/>
            <w:vAlign w:val="bottom"/>
          </w:tcPr>
          <w:p>
            <w:pPr>
              <w:spacing w:after="0"/>
              <w:rPr>
                <w:sz w:val="14"/>
                <w:szCs w:val="14"/>
                <w:color w:val="auto"/>
              </w:rPr>
            </w:pPr>
          </w:p>
        </w:tc>
      </w:tr>
      <w:tr>
        <w:trPr>
          <w:trHeight w:val="143"/>
        </w:trPr>
        <w:tc>
          <w:tcPr>
            <w:tcW w:w="37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under 2018 employee stock</w:t>
            </w:r>
          </w:p>
        </w:tc>
        <w:tc>
          <w:tcPr>
            <w:tcW w:w="1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3780" w:type="dxa"/>
            <w:vAlign w:val="bottom"/>
            <w:shd w:val="clear" w:color="auto" w:fill="CFF0FC"/>
          </w:tcPr>
          <w:p>
            <w:pPr>
              <w:ind w:left="400"/>
              <w:spacing w:after="0"/>
              <w:rPr>
                <w:sz w:val="20"/>
                <w:szCs w:val="20"/>
                <w:color w:val="auto"/>
              </w:rPr>
            </w:pPr>
            <w:r>
              <w:rPr>
                <w:rFonts w:ascii="Arial" w:cs="Arial" w:eastAsia="Arial" w:hAnsi="Arial"/>
                <w:sz w:val="14"/>
                <w:szCs w:val="14"/>
                <w:color w:val="auto"/>
              </w:rPr>
              <w:t>purchase plan</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FF0FC"/>
          </w:tcPr>
          <w:p>
            <w:pPr>
              <w:spacing w:after="0"/>
              <w:rPr>
                <w:sz w:val="14"/>
                <w:szCs w:val="14"/>
                <w:color w:val="auto"/>
              </w:rPr>
            </w:pPr>
          </w:p>
        </w:tc>
      </w:tr>
      <w:tr>
        <w:trPr>
          <w:trHeight w:val="162"/>
        </w:trPr>
        <w:tc>
          <w:tcPr>
            <w:tcW w:w="378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6,800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6,800</w:t>
            </w:r>
          </w:p>
        </w:tc>
        <w:tc>
          <w:tcPr>
            <w:tcW w:w="120" w:type="dxa"/>
            <w:vAlign w:val="bottom"/>
          </w:tcPr>
          <w:p>
            <w:pPr>
              <w:spacing w:after="0"/>
              <w:rPr>
                <w:sz w:val="14"/>
                <w:szCs w:val="14"/>
                <w:color w:val="auto"/>
              </w:rPr>
            </w:pPr>
          </w:p>
        </w:tc>
      </w:tr>
      <w:tr>
        <w:trPr>
          <w:trHeight w:val="162"/>
        </w:trPr>
        <w:tc>
          <w:tcPr>
            <w:tcW w:w="3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(72,965)</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(72,965)</w:t>
            </w:r>
          </w:p>
        </w:tc>
      </w:tr>
      <w:tr>
        <w:trPr>
          <w:trHeight w:val="156"/>
        </w:trPr>
        <w:tc>
          <w:tcPr>
            <w:tcW w:w="3780" w:type="dxa"/>
            <w:vAlign w:val="bottom"/>
          </w:tcPr>
          <w:p>
            <w:pPr>
              <w:spacing w:after="0" w:line="155" w:lineRule="exact"/>
              <w:rPr>
                <w:sz w:val="20"/>
                <w:szCs w:val="20"/>
                <w:color w:val="auto"/>
              </w:rPr>
            </w:pPr>
            <w:r>
              <w:rPr>
                <w:rFonts w:ascii="Arial" w:cs="Arial" w:eastAsia="Arial" w:hAnsi="Arial"/>
                <w:sz w:val="14"/>
                <w:szCs w:val="14"/>
                <w:color w:val="auto"/>
              </w:rPr>
              <w:t>Balance as of December 31, 2019</w:t>
            </w: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31,643</w:t>
            </w:r>
          </w:p>
        </w:tc>
        <w:tc>
          <w:tcPr>
            <w:tcW w:w="2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330,714</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(144,704)</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186,013</w:t>
            </w:r>
          </w:p>
        </w:tc>
        <w:tc>
          <w:tcPr>
            <w:tcW w:w="120" w:type="dxa"/>
            <w:vAlign w:val="bottom"/>
          </w:tcPr>
          <w:p>
            <w:pPr>
              <w:spacing w:after="0"/>
              <w:rPr>
                <w:sz w:val="13"/>
                <w:szCs w:val="13"/>
                <w:color w:val="auto"/>
              </w:rPr>
            </w:pPr>
          </w:p>
        </w:tc>
      </w:tr>
      <w:tr>
        <w:trPr>
          <w:trHeight w:val="162"/>
        </w:trPr>
        <w:tc>
          <w:tcPr>
            <w:tcW w:w="3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Vesting of restricted stock awards and units</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780" w:type="dxa"/>
            <w:vAlign w:val="bottom"/>
          </w:tcPr>
          <w:p>
            <w:pPr>
              <w:ind w:left="260"/>
              <w:spacing w:after="0"/>
              <w:rPr>
                <w:sz w:val="20"/>
                <w:szCs w:val="20"/>
                <w:color w:val="auto"/>
              </w:rPr>
            </w:pPr>
            <w:r>
              <w:rPr>
                <w:rFonts w:ascii="Arial" w:cs="Arial" w:eastAsia="Arial" w:hAnsi="Arial"/>
                <w:sz w:val="14"/>
                <w:szCs w:val="14"/>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14"/>
                <w:szCs w:val="14"/>
                <w:color w:val="auto"/>
              </w:rPr>
              <w:t>148</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4"/>
                <w:szCs w:val="14"/>
                <w:color w:val="auto"/>
              </w:rPr>
            </w:pPr>
          </w:p>
        </w:tc>
      </w:tr>
      <w:tr>
        <w:trPr>
          <w:trHeight w:val="143"/>
        </w:trPr>
        <w:tc>
          <w:tcPr>
            <w:tcW w:w="37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upon public</w:t>
            </w:r>
          </w:p>
        </w:tc>
        <w:tc>
          <w:tcPr>
            <w:tcW w:w="1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37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offerings, net of offering costs of $697</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9,350</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163,848</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163,849</w:t>
            </w:r>
          </w:p>
        </w:tc>
        <w:tc>
          <w:tcPr>
            <w:tcW w:w="120" w:type="dxa"/>
            <w:vAlign w:val="bottom"/>
            <w:shd w:val="clear" w:color="auto" w:fill="CFF0FC"/>
          </w:tcPr>
          <w:p>
            <w:pPr>
              <w:spacing w:after="0"/>
              <w:rPr>
                <w:sz w:val="14"/>
                <w:szCs w:val="14"/>
                <w:color w:val="auto"/>
              </w:rPr>
            </w:pPr>
          </w:p>
        </w:tc>
      </w:tr>
      <w:tr>
        <w:trPr>
          <w:trHeight w:val="143"/>
        </w:trPr>
        <w:tc>
          <w:tcPr>
            <w:tcW w:w="37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under</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3780" w:type="dxa"/>
            <w:vAlign w:val="bottom"/>
          </w:tcPr>
          <w:p>
            <w:pPr>
              <w:ind w:left="400"/>
              <w:spacing w:after="0"/>
              <w:rPr>
                <w:sz w:val="20"/>
                <w:szCs w:val="20"/>
                <w:color w:val="auto"/>
              </w:rPr>
            </w:pPr>
            <w:r>
              <w:rPr>
                <w:rFonts w:ascii="Arial" w:cs="Arial" w:eastAsia="Arial" w:hAnsi="Arial"/>
                <w:sz w:val="14"/>
                <w:szCs w:val="14"/>
                <w:color w:val="auto"/>
              </w:rPr>
              <w:t>ATM facility, net of offering costs of $67</w:t>
            </w:r>
          </w:p>
        </w:tc>
        <w:tc>
          <w:tcPr>
            <w:tcW w:w="1120" w:type="dxa"/>
            <w:vAlign w:val="bottom"/>
          </w:tcPr>
          <w:p>
            <w:pPr>
              <w:jc w:val="right"/>
              <w:spacing w:after="0"/>
              <w:rPr>
                <w:sz w:val="20"/>
                <w:szCs w:val="20"/>
                <w:color w:val="auto"/>
              </w:rPr>
            </w:pPr>
            <w:r>
              <w:rPr>
                <w:rFonts w:ascii="Arial" w:cs="Arial" w:eastAsia="Arial" w:hAnsi="Arial"/>
                <w:sz w:val="14"/>
                <w:szCs w:val="14"/>
                <w:color w:val="auto"/>
              </w:rPr>
              <w:t>384</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8,130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8,130</w:t>
            </w:r>
          </w:p>
        </w:tc>
        <w:tc>
          <w:tcPr>
            <w:tcW w:w="120" w:type="dxa"/>
            <w:vAlign w:val="bottom"/>
          </w:tcPr>
          <w:p>
            <w:pPr>
              <w:spacing w:after="0"/>
              <w:rPr>
                <w:sz w:val="14"/>
                <w:szCs w:val="14"/>
                <w:color w:val="auto"/>
              </w:rPr>
            </w:pPr>
          </w:p>
        </w:tc>
      </w:tr>
      <w:tr>
        <w:trPr>
          <w:trHeight w:val="143"/>
        </w:trPr>
        <w:tc>
          <w:tcPr>
            <w:tcW w:w="37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under 2018 employee stock</w:t>
            </w:r>
          </w:p>
        </w:tc>
        <w:tc>
          <w:tcPr>
            <w:tcW w:w="1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3780" w:type="dxa"/>
            <w:vAlign w:val="bottom"/>
            <w:shd w:val="clear" w:color="auto" w:fill="CFF0FC"/>
          </w:tcPr>
          <w:p>
            <w:pPr>
              <w:ind w:left="400"/>
              <w:spacing w:after="0"/>
              <w:rPr>
                <w:sz w:val="20"/>
                <w:szCs w:val="20"/>
                <w:color w:val="auto"/>
              </w:rPr>
            </w:pPr>
            <w:r>
              <w:rPr>
                <w:rFonts w:ascii="Arial" w:cs="Arial" w:eastAsia="Arial" w:hAnsi="Arial"/>
                <w:sz w:val="14"/>
                <w:szCs w:val="14"/>
                <w:color w:val="auto"/>
              </w:rPr>
              <w:t>purchase plan</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FF0FC"/>
          </w:tcPr>
          <w:p>
            <w:pPr>
              <w:spacing w:after="0"/>
              <w:rPr>
                <w:sz w:val="14"/>
                <w:szCs w:val="14"/>
                <w:color w:val="auto"/>
              </w:rPr>
            </w:pPr>
          </w:p>
        </w:tc>
      </w:tr>
      <w:tr>
        <w:trPr>
          <w:trHeight w:val="162"/>
        </w:trPr>
        <w:tc>
          <w:tcPr>
            <w:tcW w:w="378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15,628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15,628</w:t>
            </w:r>
          </w:p>
        </w:tc>
        <w:tc>
          <w:tcPr>
            <w:tcW w:w="120" w:type="dxa"/>
            <w:vAlign w:val="bottom"/>
          </w:tcPr>
          <w:p>
            <w:pPr>
              <w:spacing w:after="0"/>
              <w:rPr>
                <w:sz w:val="14"/>
                <w:szCs w:val="14"/>
                <w:color w:val="auto"/>
              </w:rPr>
            </w:pPr>
          </w:p>
        </w:tc>
      </w:tr>
      <w:tr>
        <w:trPr>
          <w:trHeight w:val="162"/>
        </w:trPr>
        <w:tc>
          <w:tcPr>
            <w:tcW w:w="3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(119,712)</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(119,712)</w:t>
            </w:r>
          </w:p>
        </w:tc>
      </w:tr>
      <w:tr>
        <w:trPr>
          <w:trHeight w:val="156"/>
        </w:trPr>
        <w:tc>
          <w:tcPr>
            <w:tcW w:w="3780" w:type="dxa"/>
            <w:vAlign w:val="bottom"/>
          </w:tcPr>
          <w:p>
            <w:pPr>
              <w:spacing w:after="0" w:line="155" w:lineRule="exact"/>
              <w:rPr>
                <w:sz w:val="20"/>
                <w:szCs w:val="20"/>
                <w:color w:val="auto"/>
              </w:rPr>
            </w:pPr>
            <w:r>
              <w:rPr>
                <w:rFonts w:ascii="Arial" w:cs="Arial" w:eastAsia="Arial" w:hAnsi="Arial"/>
                <w:sz w:val="14"/>
                <w:szCs w:val="14"/>
                <w:color w:val="auto"/>
              </w:rPr>
              <w:t>Balance as of December 31, 2020</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41,569</w:t>
            </w:r>
          </w:p>
        </w:tc>
        <w:tc>
          <w:tcPr>
            <w:tcW w:w="2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730"/>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518,756</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(264,416)</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254,344</w:t>
            </w:r>
          </w:p>
        </w:tc>
        <w:tc>
          <w:tcPr>
            <w:tcW w:w="120" w:type="dxa"/>
            <w:vAlign w:val="bottom"/>
          </w:tcPr>
          <w:p>
            <w:pPr>
              <w:spacing w:after="0"/>
              <w:rPr>
                <w:sz w:val="13"/>
                <w:szCs w:val="13"/>
                <w:color w:val="auto"/>
              </w:rPr>
            </w:pPr>
          </w:p>
        </w:tc>
      </w:tr>
      <w:tr>
        <w:trPr>
          <w:trHeight w:val="20"/>
        </w:trPr>
        <w:tc>
          <w:tcPr>
            <w:tcW w:w="3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4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(119,712)</w:t>
            </w: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(72,965)</w:t>
            </w: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15,628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Deferred rent expense</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29"/>
        </w:trPr>
        <w:tc>
          <w:tcPr>
            <w:tcW w:w="740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(881)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(98,803)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(1,177)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00" w:type="dxa"/>
            <w:vAlign w:val="bottom"/>
          </w:tcPr>
          <w:p>
            <w:pPr>
              <w:spacing w:after="0"/>
              <w:rPr>
                <w:sz w:val="20"/>
                <w:szCs w:val="20"/>
                <w:color w:val="auto"/>
              </w:rPr>
            </w:pPr>
            <w:r>
              <w:rPr>
                <w:rFonts w:ascii="Arial" w:cs="Arial" w:eastAsia="Arial" w:hAnsi="Arial"/>
                <w:sz w:val="18"/>
                <w:szCs w:val="18"/>
                <w:color w:val="auto"/>
              </w:rPr>
              <w:t>Proceeds from issuance of common stock upon completion of public</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offerings, net of offering costs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164,053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129,465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under ATM facility, net of offering costs</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under 2018 employee stock purchase plan</w:t>
            </w:r>
          </w:p>
        </w:tc>
        <w:tc>
          <w:tcPr>
            <w:tcW w:w="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72,639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187,535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260,174</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187,535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expenses</w:t>
            </w:r>
          </w:p>
        </w:tc>
        <w:tc>
          <w:tcPr>
            <w:tcW w:w="6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29"/>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Common stock offering costs incurred but unpaid at period end</w:t>
            </w:r>
          </w:p>
        </w:tc>
        <w:tc>
          <w:tcPr>
            <w:tcW w:w="6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9"/>
                <w:szCs w:val="19"/>
                <w:color w:val="auto"/>
              </w:rPr>
            </w:pP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2"/>
              </w:rPr>
              <w:t>Reconciliation of cash, cash equivalents and restricted cash reported within the consolidated</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sheets:</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6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259,682</w:t>
            </w:r>
          </w:p>
        </w:tc>
        <w:tc>
          <w:tcPr>
            <w:tcW w:w="300" w:type="dxa"/>
            <w:vAlign w:val="bottom"/>
          </w:tcPr>
          <w:p>
            <w:pPr>
              <w:spacing w:after="0"/>
              <w:rPr>
                <w:sz w:val="19"/>
                <w:szCs w:val="19"/>
                <w:color w:val="auto"/>
              </w:rPr>
            </w:pP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260,174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6" w:name="page117"/>
    <w:bookmarkEnd w:id="116"/>
    <w:p>
      <w:pPr>
        <w:jc w:val="center"/>
        <w:ind w:right="-5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380" w:firstLine="546"/>
        <w:spacing w:after="0" w:line="277" w:lineRule="auto"/>
        <w:rPr>
          <w:sz w:val="20"/>
          <w:szCs w:val="20"/>
          <w:color w:val="auto"/>
        </w:rPr>
      </w:pPr>
      <w:r>
        <w:rPr>
          <w:rFonts w:ascii="Arial" w:cs="Arial" w:eastAsia="Arial" w:hAnsi="Arial"/>
          <w:sz w:val="18"/>
          <w:szCs w:val="18"/>
          <w:color w:val="auto"/>
        </w:rPr>
        <w:t xml:space="preserve">AVROBIO, Inc. (the “Company” or “AVROBIO”) is a clinical-stage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 treatment regimen.</w:t>
      </w:r>
    </w:p>
    <w:p>
      <w:pPr>
        <w:spacing w:after="0" w:line="170" w:lineRule="exact"/>
        <w:rPr>
          <w:sz w:val="20"/>
          <w:szCs w:val="20"/>
          <w:color w:val="auto"/>
        </w:rPr>
      </w:pPr>
    </w:p>
    <w:p>
      <w:pPr>
        <w:ind w:right="140" w:firstLine="546"/>
        <w:spacing w:after="0" w:line="297"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1" w:lineRule="exact"/>
        <w:rPr>
          <w:sz w:val="20"/>
          <w:szCs w:val="20"/>
          <w:color w:val="auto"/>
        </w:rPr>
      </w:pPr>
    </w:p>
    <w:p>
      <w:pPr>
        <w:ind w:right="40" w:firstLine="546"/>
        <w:spacing w:after="0" w:line="270" w:lineRule="auto"/>
        <w:rPr>
          <w:sz w:val="20"/>
          <w:szCs w:val="20"/>
          <w:color w:val="auto"/>
        </w:rPr>
      </w:pPr>
      <w:r>
        <w:rPr>
          <w:rFonts w:ascii="Arial" w:cs="Arial" w:eastAsia="Arial" w:hAnsi="Arial"/>
          <w:sz w:val="17"/>
          <w:szCs w:val="17"/>
          <w:color w:val="auto"/>
        </w:rPr>
        <w:t>The Company has devoted substantially all of its efforts to research and development, business planning, acquiring operating assets, seeking protection for its technology and product candidates, and raising capital. Since inception, the Company has funded its operations through sales of preferred stock and common stock. As of December 31, 2020, the Company had an accumulated deficit of $264,416. Although the Company has incurred recurring losses and expects to continue to incur losses for the foreseeable future, the Company expects that its existing cash and cash equivalents on hand as of December 31, 2020 of $259,682 will be sufficient to fund current planned operations and capital expenditure requirements for at least the next twelve months from the filing date of this Annual Report on Form 10-K with the SEC.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352" w:lineRule="exact"/>
        <w:rPr>
          <w:sz w:val="20"/>
          <w:szCs w:val="20"/>
          <w:color w:val="auto"/>
        </w:rPr>
      </w:pPr>
    </w:p>
    <w:p>
      <w:pPr>
        <w:ind w:left="560" w:right="7640" w:hanging="552"/>
        <w:spacing w:after="0" w:line="378" w:lineRule="auto"/>
        <w:tabs>
          <w:tab w:leader="none" w:pos="194"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20" w:firstLine="546"/>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AVROBIO, Inc. and its wholly owned subsidiaries. All intercompany transactions and balances have been eliminated in consolidation.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320" w:firstLine="546"/>
        <w:spacing w:after="0" w:line="263" w:lineRule="auto"/>
        <w:rPr>
          <w:sz w:val="20"/>
          <w:szCs w:val="20"/>
          <w:color w:val="auto"/>
        </w:rPr>
      </w:pPr>
      <w:r>
        <w:rPr>
          <w:rFonts w:ascii="Arial" w:cs="Arial" w:eastAsia="Arial" w:hAnsi="Arial"/>
          <w:sz w:val="18"/>
          <w:szCs w:val="18"/>
          <w:color w:val="auto"/>
        </w:rPr>
        <w:t>Restricted cash totaling $492 as of December 31, 2019 has been reclassified from “Other assets” to “Restricted cash” in order to conform to the current period presentation. Additionally, the Company has reclassified $214 which was previously classified as “Accrued expenses and other current liabilities” as of December 31, 20219 to “Deferred rent” in order to</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17" w:name="page118"/>
    <w:bookmarkEnd w:id="117"/>
    <w:p>
      <w:pPr>
        <w:ind w:right="260"/>
        <w:spacing w:after="0" w:line="277" w:lineRule="auto"/>
        <w:rPr>
          <w:sz w:val="20"/>
          <w:szCs w:val="20"/>
          <w:color w:val="auto"/>
        </w:rPr>
      </w:pPr>
      <w:r>
        <w:rPr>
          <w:rFonts w:ascii="Arial" w:cs="Arial" w:eastAsia="Arial" w:hAnsi="Arial"/>
          <w:sz w:val="18"/>
          <w:szCs w:val="18"/>
          <w:color w:val="auto"/>
        </w:rPr>
        <w:t>conform to the current period presentation. These reclassifications had no effect on the consolidated results of operation or cash flows for the year ended December 31, 2019.</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610"/>
        <w:spacing w:after="0" w:line="219" w:lineRule="exact"/>
        <w:rPr>
          <w:sz w:val="20"/>
          <w:szCs w:val="20"/>
          <w:color w:val="auto"/>
        </w:rPr>
      </w:pPr>
      <w:r>
        <w:rPr>
          <w:rFonts w:ascii="Arial" w:cs="Arial" w:eastAsia="Arial" w:hAnsi="Arial"/>
          <w:sz w:val="17"/>
          <w:szCs w:val="17"/>
          <w:color w:val="auto"/>
        </w:rPr>
        <w:t>The preparation of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w:t>
      </w:r>
      <w:r>
        <w:rPr>
          <w:rFonts w:ascii="MS PGothic" w:cs="MS PGothic" w:eastAsia="MS PGothic" w:hAnsi="MS PGothic"/>
          <w:sz w:val="17"/>
          <w:szCs w:val="17"/>
          <w:color w:val="auto"/>
        </w:rPr>
        <w:t>‑</w:t>
      </w:r>
      <w:r>
        <w:rPr>
          <w:rFonts w:ascii="Arial" w:cs="Arial" w:eastAsia="Arial" w:hAnsi="Arial"/>
          <w:sz w:val="17"/>
          <w:szCs w:val="17"/>
          <w:color w:val="auto"/>
        </w:rPr>
        <w:t>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80" w:firstLine="546"/>
        <w:spacing w:after="0" w:line="377" w:lineRule="auto"/>
        <w:rPr>
          <w:sz w:val="20"/>
          <w:szCs w:val="20"/>
          <w:color w:val="auto"/>
        </w:rPr>
      </w:pPr>
      <w:r>
        <w:rPr>
          <w:rFonts w:ascii="Arial" w:cs="Arial" w:eastAsia="Arial" w:hAnsi="Arial"/>
          <w:sz w:val="16"/>
          <w:szCs w:val="16"/>
          <w:color w:val="auto"/>
        </w:rPr>
        <w:t>The Company considers all highly liquid investments purchased with original maturities of three months or less at acquisition to be cash equivalents. As of December 31, 2020 and 2019, cash and cash equivalents were primarily held in interest-bearing money market funds.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 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117" w:lineRule="exact"/>
        <w:rPr>
          <w:sz w:val="20"/>
          <w:szCs w:val="20"/>
          <w:color w:val="auto"/>
        </w:rPr>
      </w:pPr>
    </w:p>
    <w:p>
      <w:pPr>
        <w:ind w:right="200" w:firstLine="546"/>
        <w:spacing w:after="0" w:line="287"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issuance costs until such financings are consummated. After consummation of the equity financing, these costs are recorded as a reduction of the proceeds generated as a result of the offering. Should the planned equity financing be abandoned, the deferred issuance costs will be expensed immediately as a charge to operating expenses in the consolidated statements of operations. As of December 31, 2019, the Company recorded deferred issuance costs of $133 within other assets on the consolidated balance sheet related to a follow-on offering of common stock completed in February 2020. There were no amounts deferred as of December 31, 2020.</w:t>
      </w:r>
    </w:p>
    <w:p>
      <w:pPr>
        <w:spacing w:after="0" w:line="27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80" w:firstLine="546"/>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80" w:lineRule="exact"/>
        <w:rPr>
          <w:sz w:val="20"/>
          <w:szCs w:val="20"/>
          <w:color w:val="auto"/>
        </w:rPr>
      </w:pPr>
    </w:p>
    <w:p>
      <w:pPr>
        <w:ind w:left="960" w:right="100" w:hanging="412"/>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1— Fair values are determined utilizing prices (unadjusted) in active markets for identical assets or liabilities that the Company has the ability to access.</w:t>
      </w:r>
    </w:p>
    <w:p>
      <w:pPr>
        <w:spacing w:after="0" w:line="62" w:lineRule="exact"/>
        <w:rPr>
          <w:rFonts w:ascii="Arial" w:cs="Arial" w:eastAsia="Arial" w:hAnsi="Arial"/>
          <w:sz w:val="18"/>
          <w:szCs w:val="18"/>
          <w:color w:val="auto"/>
        </w:rPr>
      </w:pPr>
    </w:p>
    <w:p>
      <w:pPr>
        <w:ind w:left="960" w:right="120" w:hanging="412"/>
        <w:spacing w:after="0" w:line="263"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5" w:lineRule="exact"/>
        <w:rPr>
          <w:rFonts w:ascii="Arial" w:cs="Arial" w:eastAsia="Arial" w:hAnsi="Arial"/>
          <w:sz w:val="18"/>
          <w:szCs w:val="18"/>
          <w:color w:val="auto"/>
        </w:rPr>
      </w:pPr>
    </w:p>
    <w:p>
      <w:pPr>
        <w:ind w:left="960" w:right="200" w:hanging="412"/>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8" w:name="page119"/>
    <w:bookmarkEnd w:id="118"/>
    <w:p>
      <w:pPr>
        <w:ind w:right="840" w:firstLine="546"/>
        <w:spacing w:after="0" w:line="224" w:lineRule="exact"/>
        <w:rPr>
          <w:sz w:val="20"/>
          <w:szCs w:val="20"/>
          <w:color w:val="auto"/>
        </w:rPr>
      </w:pPr>
      <w:r>
        <w:rPr>
          <w:rFonts w:ascii="Arial" w:cs="Arial" w:eastAsia="Arial" w:hAnsi="Arial"/>
          <w:sz w:val="17"/>
          <w:szCs w:val="17"/>
          <w:color w:val="auto"/>
        </w:rPr>
        <w:t>The carrying amounts of the Company’s financial instruments, which include cash equivalents, accounts payable, and accrued expenses, approximated their fair values as of December 31, 2020 and 2019 due to the short</w:t>
      </w:r>
      <w:r>
        <w:rPr>
          <w:rFonts w:ascii="MS PGothic" w:cs="MS PGothic" w:eastAsia="MS PGothic" w:hAnsi="MS PGothic"/>
          <w:sz w:val="17"/>
          <w:szCs w:val="17"/>
          <w:color w:val="auto"/>
        </w:rPr>
        <w:t>‑</w:t>
      </w:r>
      <w:r>
        <w:rPr>
          <w:rFonts w:ascii="Arial" w:cs="Arial" w:eastAsia="Arial" w:hAnsi="Arial"/>
          <w:sz w:val="17"/>
          <w:szCs w:val="17"/>
          <w:color w:val="auto"/>
        </w:rPr>
        <w:t>term nature of these instruments.</w:t>
      </w:r>
    </w:p>
    <w:p>
      <w:pPr>
        <w:spacing w:after="0" w:line="202"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 xml:space="preserve">The Company has evaluated the estimated fair value of financial instruments using available market information. The use of different market assumptions, estimation methodologies, or both, could have a significant effect on the estimated fair value amounts. See Note 4 </w:t>
      </w:r>
      <w:r>
        <w:rPr>
          <w:rFonts w:ascii="Arial" w:cs="Arial" w:eastAsia="Arial" w:hAnsi="Arial"/>
          <w:sz w:val="18"/>
          <w:szCs w:val="18"/>
          <w:i w:val="1"/>
          <w:iCs w:val="1"/>
          <w:color w:val="auto"/>
        </w:rPr>
        <w:t>“Fair Value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and Liabilities” </w:t>
      </w:r>
      <w:r>
        <w:rPr>
          <w:rFonts w:ascii="Arial" w:cs="Arial" w:eastAsia="Arial" w:hAnsi="Arial"/>
          <w:sz w:val="18"/>
          <w:szCs w:val="18"/>
          <w:color w:val="auto"/>
        </w:rPr>
        <w:t>for further discussion.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680" w:firstLine="546"/>
        <w:spacing w:after="0" w:line="277" w:lineRule="auto"/>
        <w:rPr>
          <w:sz w:val="20"/>
          <w:szCs w:val="20"/>
          <w:color w:val="auto"/>
        </w:rPr>
      </w:pPr>
      <w:r>
        <w:rPr>
          <w:rFonts w:ascii="Arial" w:cs="Arial" w:eastAsia="Arial" w:hAnsi="Arial"/>
          <w:sz w:val="18"/>
          <w:szCs w:val="18"/>
          <w:color w:val="auto"/>
        </w:rPr>
        <w:t>Property and equipment are recorded at cost. Depreciation and amortization is calculated using the straight-line method over the following estimated useful lives of the assets:</w:t>
      </w:r>
    </w:p>
    <w:p>
      <w:pPr>
        <w:spacing w:after="0" w:line="256"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640" w:type="dxa"/>
            <w:vAlign w:val="bottom"/>
            <w:tcBorders>
              <w:bottom w:val="single" w:sz="8" w:color="CFF0FC"/>
            </w:tcBorders>
          </w:tcPr>
          <w:p>
            <w:pPr>
              <w:spacing w:after="0"/>
              <w:rPr>
                <w:sz w:val="14"/>
                <w:szCs w:val="14"/>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2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3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Computer equipment</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2 years</w:t>
            </w: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Lesser of lease term or 10 years</w:t>
            </w:r>
          </w:p>
        </w:tc>
      </w:tr>
    </w:tbl>
    <w:p>
      <w:pPr>
        <w:spacing w:after="0" w:line="35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The Company did not record any impairment loss during the years ended December 31, 2020 and 2019.</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80" w:firstLine="545"/>
        <w:spacing w:after="0" w:line="273" w:lineRule="auto"/>
        <w:rPr>
          <w:sz w:val="20"/>
          <w:szCs w:val="20"/>
          <w:color w:val="auto"/>
        </w:rPr>
      </w:pPr>
      <w:r>
        <w:rPr>
          <w:rFonts w:ascii="Arial" w:cs="Arial" w:eastAsia="Arial" w:hAnsi="Arial"/>
          <w:sz w:val="17"/>
          <w:szCs w:val="17"/>
          <w:color w:val="auto"/>
        </w:rPr>
        <w:t>The Company categorizes leases at their inception as either operating or capital leases. On certain lease arrangements, the Company may receive rent holidays or other incentives. The Company recognizes lease costs on a straight-line basis once control of the space is achieved, without regard to deferred payment terms, such as rent holidays, that defer the commencement date of required payments or escalating payment amounts. The difference between required lease payments and rent expense has been recorded as deferred rent and accrued expenses and other current liabilities in the accompanying consolidated balance sheets. Additionally, incentives received are treated as a reduction of costs over the term of the agreement, as they are considered an inseparable part of the lease agreement.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44" w:lineRule="exact"/>
        <w:rPr>
          <w:sz w:val="20"/>
          <w:szCs w:val="20"/>
          <w:color w:val="auto"/>
        </w:rPr>
      </w:pPr>
    </w:p>
    <w:p>
      <w:pPr>
        <w:ind w:right="140" w:firstLine="546"/>
        <w:spacing w:after="0" w:line="301" w:lineRule="auto"/>
        <w:rPr>
          <w:sz w:val="20"/>
          <w:szCs w:val="20"/>
          <w:color w:val="auto"/>
        </w:rPr>
      </w:pPr>
      <w:r>
        <w:rPr>
          <w:rFonts w:ascii="Arial" w:cs="Arial" w:eastAsia="Arial" w:hAnsi="Arial"/>
          <w:sz w:val="16"/>
          <w:szCs w:val="16"/>
          <w:color w:val="auto"/>
        </w:rPr>
        <w:t>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equity (deficit) which includes certain changes in equity that are excluded from net income (loss). Comprehensive loss has been disclosed in the accompanying consolidated statements of operations and comprehensive loss and equals the Company’s net loss for all periods presented.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19" w:name="page120"/>
    <w:bookmarkEnd w:id="119"/>
    <w:p>
      <w:pPr>
        <w:ind w:right="100" w:firstLine="546"/>
        <w:spacing w:after="0" w:line="273" w:lineRule="auto"/>
        <w:rPr>
          <w:sz w:val="20"/>
          <w:szCs w:val="20"/>
          <w:color w:val="auto"/>
        </w:rPr>
      </w:pPr>
      <w:r>
        <w:rPr>
          <w:rFonts w:ascii="Arial" w:cs="Arial" w:eastAsia="Arial" w:hAnsi="Arial"/>
          <w:sz w:val="17"/>
          <w:szCs w:val="17"/>
          <w:color w:val="auto"/>
        </w:rPr>
        <w:t>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income (expense), net in the consolidated statements of operations and comprehensive loss. During the years ended December 31, 2020 and 2019, the Company recorded foreign exchange losses of $203 and $90, respectively, in other expense.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92" w:lineRule="exact"/>
        <w:rPr>
          <w:sz w:val="20"/>
          <w:szCs w:val="20"/>
          <w:color w:val="auto"/>
        </w:rPr>
      </w:pPr>
    </w:p>
    <w:p>
      <w:pPr>
        <w:ind w:right="100" w:firstLine="546"/>
        <w:spacing w:after="0" w:line="255" w:lineRule="auto"/>
        <w:rPr>
          <w:sz w:val="20"/>
          <w:szCs w:val="20"/>
          <w:color w:val="auto"/>
        </w:rPr>
      </w:pPr>
      <w:r>
        <w:rPr>
          <w:rFonts w:ascii="Arial" w:cs="Arial" w:eastAsia="Arial" w:hAnsi="Arial"/>
          <w:sz w:val="18"/>
          <w:szCs w:val="18"/>
          <w:color w:val="auto"/>
        </w:rPr>
        <w:t>The Company has entered into various research and development related contracts with parties both inside and outside of the United States. The payments related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40" w:firstLine="546"/>
        <w:spacing w:after="0" w:line="275"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6" w:lineRule="exact"/>
        <w:rPr>
          <w:sz w:val="20"/>
          <w:szCs w:val="20"/>
          <w:color w:val="auto"/>
        </w:rPr>
      </w:pPr>
    </w:p>
    <w:p>
      <w:pPr>
        <w:ind w:right="60" w:firstLine="546"/>
        <w:spacing w:after="0" w:line="293" w:lineRule="auto"/>
        <w:rPr>
          <w:sz w:val="20"/>
          <w:szCs w:val="20"/>
          <w:color w:val="auto"/>
        </w:rPr>
      </w:pPr>
      <w:r>
        <w:rPr>
          <w:rFonts w:ascii="Arial" w:cs="Arial" w:eastAsia="Arial" w:hAnsi="Arial"/>
          <w:sz w:val="16"/>
          <w:szCs w:val="16"/>
          <w:color w:val="auto"/>
        </w:rPr>
        <w:t xml:space="preserve">Prior to the adoption of Accounting Standards Update (“ASU”) No. 2018-07,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Nonemployee Share-Based Payment Accounting</w:t>
      </w:r>
      <w:r>
        <w:rPr>
          <w:rFonts w:ascii="Arial" w:cs="Arial" w:eastAsia="Arial" w:hAnsi="Arial"/>
          <w:sz w:val="16"/>
          <w:szCs w:val="16"/>
          <w:color w:val="auto"/>
        </w:rPr>
        <w:t>, the measurement date for non-employee awards was generally the date the services are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financial reporting period adjustments to stock-based compensation during the vesting terms for changes in the fair value of the awards. Since the Company’s adoption of ASU 2018-07 in 2018,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spacing w:after="0" w:line="164"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right="20" w:firstLine="546"/>
        <w:spacing w:after="0" w:line="268" w:lineRule="auto"/>
        <w:rPr>
          <w:sz w:val="20"/>
          <w:szCs w:val="20"/>
          <w:color w:val="auto"/>
        </w:rPr>
      </w:pPr>
      <w:r>
        <w:rPr>
          <w:rFonts w:ascii="Arial" w:cs="Arial" w:eastAsia="Arial" w:hAnsi="Arial"/>
          <w:sz w:val="17"/>
          <w:szCs w:val="17"/>
          <w:color w:val="auto"/>
        </w:rPr>
        <w:t xml:space="preserve">Given the absence of an active market for the Company’s common stock prior to its initial public offering (“IPO”),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 methodology includes 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 (4) the fact that the grants of stock-based awards involved illiquid securities in a private company; and (5) the likelihood of achieving a liquidity event for the common stock underlying the stock-based awards, such as an IPO or sale of the Company, given prevailing market conditions.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0" w:name="page121"/>
    <w:bookmarkEnd w:id="120"/>
    <w:p>
      <w:pPr>
        <w:ind w:right="20" w:firstLine="546"/>
        <w:spacing w:after="0" w:line="289"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2020,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88" w:lineRule="exact"/>
        <w:rPr>
          <w:sz w:val="20"/>
          <w:szCs w:val="20"/>
          <w:color w:val="auto"/>
        </w:rPr>
      </w:pPr>
    </w:p>
    <w:p>
      <w:pPr>
        <w:ind w:right="220" w:firstLine="546"/>
        <w:spacing w:after="0" w:line="259" w:lineRule="auto"/>
        <w:rPr>
          <w:sz w:val="20"/>
          <w:szCs w:val="20"/>
          <w:color w:val="auto"/>
        </w:rPr>
      </w:pPr>
      <w:r>
        <w:rPr>
          <w:rFonts w:ascii="Arial" w:cs="Arial" w:eastAsia="Arial" w:hAnsi="Arial"/>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Basic net loss per share is computed by dividing net loss by the weighted-average number of shares of common stock outstanding during the period, without consideration of potential dilutive securities. Diluted net loss per share is computed by adjusting the weighted-average shares outstanding for the potential dilutive effects of common stock equivalents outstanding during the period calculated in accordance with the treasury stock method. For purposes of the diluted net loss per share calculation, stock options and restricted stock units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The Company has evaluated all subsequent events and determined that there are no material recognized or unrecognized subsequent events requiring disclosure.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60" w:firstLine="546"/>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1" w:name="page122"/>
    <w:bookmarkEnd w:id="121"/>
    <w:p>
      <w:pPr>
        <w:ind w:left="5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808)—Clarifying the Interaction between Topic 808</w:t>
      </w:r>
      <w:r>
        <w:rPr>
          <w:rFonts w:ascii="Arial" w:cs="Arial" w:eastAsia="Arial" w:hAnsi="Arial"/>
          <w:sz w:val="16"/>
          <w:szCs w:val="16"/>
          <w:color w:val="auto"/>
        </w:rPr>
        <w:t xml:space="preserve"> </w:t>
      </w:r>
      <w:r>
        <w:rPr>
          <w:rFonts w:ascii="Arial" w:cs="Arial" w:eastAsia="Arial" w:hAnsi="Arial"/>
          <w:sz w:val="16"/>
          <w:szCs w:val="16"/>
          <w:i w:val="1"/>
          <w:iCs w:val="1"/>
          <w:color w:val="auto"/>
        </w:rPr>
        <w:t>and Topic 606</w:t>
      </w:r>
      <w:r>
        <w:rPr>
          <w:rFonts w:ascii="Arial" w:cs="Arial" w:eastAsia="Arial" w:hAnsi="Arial"/>
          <w:sz w:val="16"/>
          <w:szCs w:val="16"/>
          <w:color w:val="auto"/>
        </w:rPr>
        <w:t>, or ASU 2018-18. The amendments in ASU 2018-18 clarify that certain transactions between collaborative arrangement participants should</w:t>
      </w:r>
      <w:r>
        <w:rPr>
          <w:rFonts w:ascii="Arial" w:cs="Arial" w:eastAsia="Arial" w:hAnsi="Arial"/>
          <w:sz w:val="16"/>
          <w:szCs w:val="16"/>
          <w:i w:val="1"/>
          <w:iCs w:val="1"/>
          <w:color w:val="auto"/>
        </w:rPr>
        <w:t xml:space="preserve"> </w:t>
      </w:r>
      <w:r>
        <w:rPr>
          <w:rFonts w:ascii="Arial" w:cs="Arial" w:eastAsia="Arial" w:hAnsi="Arial"/>
          <w:sz w:val="16"/>
          <w:szCs w:val="16"/>
          <w:color w:val="auto"/>
        </w:rPr>
        <w:t>be accounted for as revenue under ASC 606 when the collaborative arrangement participant is a customer in the context of a unit of account. The amendments under ASU 2018-18 are effective for interim and annual fiscal periods beginning after December 15, 2019, with early adoption permitted. The amendments in ASU 2018-18 should be applied retrospectively to the date of initial application of ASC 606. The Company adopted ASU 2018-18 during the quarter ended March 31, 2020. The adoption did not have a material impact on the consolidated financial statements.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Intangible-Goodwill and Other Internal-Use Software (Subtopic 350-40),</w:t>
      </w:r>
      <w:r>
        <w:rPr>
          <w:rFonts w:ascii="Arial" w:cs="Arial" w:eastAsia="Arial" w:hAnsi="Arial"/>
          <w:sz w:val="17"/>
          <w:szCs w:val="17"/>
          <w:color w:val="auto"/>
        </w:rPr>
        <w:t xml:space="preserve"> or ASU 2018-</w:t>
      </w:r>
    </w:p>
    <w:p>
      <w:pPr>
        <w:spacing w:after="0" w:line="35" w:lineRule="exact"/>
        <w:rPr>
          <w:sz w:val="20"/>
          <w:szCs w:val="20"/>
          <w:color w:val="auto"/>
        </w:rPr>
      </w:pPr>
    </w:p>
    <w:p>
      <w:pPr>
        <w:ind w:firstLine="8"/>
        <w:spacing w:after="0" w:line="253" w:lineRule="auto"/>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ASU 2018-15 updates guidance regarding accounting for implementation costs associated with a cloud computing arrangement that is a service contract. The amendments under ASU 2018-15 are effective for interim and annual fiscal periods beginning after December 15, 2019, with early adoption permitted. The Company adopted ASU 2018-15 during the quarter ended March 31, 2020. The adoption did not have a material impact on the consolidated financial statements.</w:t>
      </w:r>
    </w:p>
    <w:p>
      <w:pPr>
        <w:spacing w:after="0" w:line="193"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or ASU 2018-13. The amendments in ASU 2018-13 eliminate, add, and modify certain disclosure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fair value measurements. The amendments are effective for interim and annual reporting periods beginning after December 15, 2019, with early adoption permitted for either the entire ASU or only the provisions that eliminate or modify requirements. The amendments with respect to changes in unrealized gains and losses, the range and weighted-average of significant unobservable inputs used to develop Level 3 fair value measurements, and the narrative description of measurement uncertainty are to be applied prospectively. All other amendments are to be applied retrospectively to all periods presented. The Company adopted ASU 2018-13 during the quarter ended March 31, 2020. The adoption did not have a material impact on the consolidated financial statements.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(Topic 842) Leases,</w:t>
      </w:r>
      <w:r>
        <w:rPr>
          <w:rFonts w:ascii="Arial" w:cs="Arial" w:eastAsia="Arial" w:hAnsi="Arial"/>
          <w:sz w:val="17"/>
          <w:szCs w:val="17"/>
          <w:color w:val="auto"/>
        </w:rPr>
        <w:t xml:space="preserve"> or ASU 2016-02. ASU 2016-02 requires an entity to recognize assets and liabilities arising from a lease for both financing and operating leases. The ASU will also require new qualitative and quantitative disclosures to help investors and other financial statement users better understand the amount, timing, and uncertainty of cash flows arising from leases. For public entities, ASU 2016-02 is effective for fiscal years beginning after December 15, 2018. As a result of the Company having elected the extended transition period for complying with new or revised accounting standards pursuant to Section 107(b) of the JOBS Act, ASU 2016-02 is effective for the Company for the year ended December 31, 2022, and all interim periods thereafter. Early adoption is permitted. The Company is currently evaluating the impact that the adoption of ASU 2016-02 will have on its consolidated financial statements. Based on this evaluation the Company currently expects that its operating lease commitments will be subject to the new standard and recognized as right-of-use assets and operating lease liabilities upon adoption of this standard, which will increase the Company’s total assets and total liabilities.</w:t>
      </w:r>
    </w:p>
    <w:p>
      <w:pPr>
        <w:spacing w:after="0" w:line="181"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or ASU 2016-13. ASU 2016-13 requires that credit losses be reported as an allowance using an expected losses model,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current estimate of credit losses expected to be incurred. The accounting guidance currently in effect is based on an incurred loss model. For available-for-sale debt securities with unrealized losses, this standard now requires allowances to be recorded instead of reducing the amortized cost of the investment. ASU 2016-13 is effective for non-emerging growth companies (“EGCs”) for fiscal years beginning December 15, 2019 and interim periods within those fiscal years, and will be effective for the Company for fiscal years beginning after December 15, 2022 and interim periods within those fiscal years, assuming the Company remains an EGC. Early adoption is permitted. The Company is currently evaluating the effects the adoption of ASU 2016-13 may have on its financial statements.</w:t>
      </w:r>
    </w:p>
    <w:p>
      <w:pPr>
        <w:spacing w:after="0" w:line="192" w:lineRule="exact"/>
        <w:rPr>
          <w:sz w:val="20"/>
          <w:szCs w:val="20"/>
          <w:color w:val="auto"/>
        </w:rPr>
      </w:pPr>
    </w:p>
    <w:p>
      <w:pPr>
        <w:ind w:right="80" w:firstLine="546"/>
        <w:spacing w:after="0" w:line="296" w:lineRule="auto"/>
        <w:rPr>
          <w:sz w:val="20"/>
          <w:szCs w:val="20"/>
          <w:color w:val="auto"/>
        </w:rPr>
      </w:pPr>
      <w:r>
        <w:rPr>
          <w:rFonts w:ascii="Arial" w:cs="Arial" w:eastAsia="Arial" w:hAnsi="Arial"/>
          <w:sz w:val="16"/>
          <w:szCs w:val="16"/>
          <w:color w:val="auto"/>
        </w:rPr>
        <w:t>In November 2019, the FASB issued ASU 2019-11,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or ASU 2019-11. ASU 2019-11 is an accounting pronouncement that amends ASU 2016-13, “</w:t>
      </w:r>
      <w:r>
        <w:rPr>
          <w:rFonts w:ascii="Arial" w:cs="Arial" w:eastAsia="Arial" w:hAnsi="Arial"/>
          <w:sz w:val="16"/>
          <w:szCs w:val="16"/>
          <w:i w:val="1"/>
          <w:iCs w:val="1"/>
          <w:color w:val="auto"/>
        </w:rPr>
        <w:t>Financial Instruments – 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The amendments update guidance on reporting credit losses for financial assets. These amendments affect loans,</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trade receivables, net investments in leases, off balance sheet credit exposures, reinsurance receivables, and any other financial assets not excluded from the scope that have the contractual right to receive cash. The amendments in both ASU 2016-13 and ASU 2019-11 are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22" w:name="page123"/>
    <w:bookmarkEnd w:id="122"/>
    <w:p>
      <w:pPr>
        <w:spacing w:after="0" w:line="257" w:lineRule="auto"/>
        <w:rPr>
          <w:sz w:val="20"/>
          <w:szCs w:val="20"/>
          <w:color w:val="auto"/>
        </w:rPr>
      </w:pPr>
      <w:r>
        <w:rPr>
          <w:rFonts w:ascii="Arial" w:cs="Arial" w:eastAsia="Arial" w:hAnsi="Arial"/>
          <w:sz w:val="18"/>
          <w:szCs w:val="18"/>
          <w:color w:val="auto"/>
        </w:rPr>
        <w:t>effective for annual reporting periods beginning after December 15, 2019, including interim periods within those fiscal years. As a result of the Company having elected the extended transition period for complying with new or revised accounting standards pursuant to Section 107(b) of the JOBS Act, 2016-13 and ASU 2019-11 are effective for the Company for fiscal years beginning after December 15, 2022, and interim periods within those fiscal years. The Company is currently evaluating ASU 2016-13 and ASU 2019-11 and their impact on its consolidated financial statements and financial statement disclosures.</w:t>
      </w:r>
    </w:p>
    <w:p>
      <w:pPr>
        <w:spacing w:after="0" w:line="188"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or ASU 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ASU 2019-12 is effective for non-EGCs for fiscal years beginning after December 15, 2020 and interim periods within those fiscal years and will be effective for the Company for fiscal years beginning after December 15, 2021 and interim periods beginning after December 15, 2022, assuming the Company remains an EGC. Early adoption is permitted. The Company is currently evaluating the effects the adoption of ASU 2019-12 may have on its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License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Agreement with The University of Manchester</w:t>
      </w:r>
    </w:p>
    <w:p>
      <w:pPr>
        <w:spacing w:after="0" w:line="117" w:lineRule="exact"/>
        <w:rPr>
          <w:sz w:val="20"/>
          <w:szCs w:val="20"/>
          <w:color w:val="auto"/>
        </w:rPr>
      </w:pPr>
    </w:p>
    <w:p>
      <w:pPr>
        <w:ind w:right="100" w:firstLine="546"/>
        <w:spacing w:after="0" w:line="275" w:lineRule="auto"/>
        <w:rPr>
          <w:sz w:val="20"/>
          <w:szCs w:val="20"/>
          <w:color w:val="auto"/>
        </w:rPr>
      </w:pPr>
      <w:r>
        <w:rPr>
          <w:rFonts w:ascii="Arial" w:cs="Arial" w:eastAsia="Arial" w:hAnsi="Arial"/>
          <w:sz w:val="17"/>
          <w:szCs w:val="17"/>
          <w:color w:val="auto"/>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for use in the treatment of Hunter syndrome, or mucopolysaccharidosis type II (“MPSII”). As consideration for the MPSII License Agreement, the Company agreed to pay UoM an upfront, one-time fee of $8,000, which was recognized as research and development expense during the year ended December 31, 2020.</w:t>
      </w:r>
    </w:p>
    <w:p>
      <w:pPr>
        <w:spacing w:after="0" w:line="176" w:lineRule="exact"/>
        <w:rPr>
          <w:sz w:val="20"/>
          <w:szCs w:val="20"/>
          <w:color w:val="auto"/>
        </w:rPr>
      </w:pPr>
    </w:p>
    <w:p>
      <w:pPr>
        <w:ind w:right="60" w:firstLine="546"/>
        <w:spacing w:after="0" w:line="273" w:lineRule="auto"/>
        <w:rPr>
          <w:sz w:val="20"/>
          <w:szCs w:val="20"/>
          <w:color w:val="auto"/>
        </w:rPr>
      </w:pPr>
      <w:r>
        <w:rPr>
          <w:rFonts w:ascii="Arial" w:cs="Arial" w:eastAsia="Arial" w:hAnsi="Arial"/>
          <w:sz w:val="17"/>
          <w:szCs w:val="17"/>
          <w:color w:val="auto"/>
        </w:rPr>
        <w:t>As part of the agreement, the Company is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 digit percentage of any sublicense fees received by the Company. The next anticipated payment milestones under the MPSII License Agreement include $2,000, which would become due following the date of regulatory approval of the clinical trial application for the investigator-sponsored Phase 1/2 clinical trial sponsored by UoM, and $4,000, upon the dosing of the first patient in the investigator-sponsored Phase 1/2 clinical trial sponsored by UoM.</w:t>
      </w:r>
    </w:p>
    <w:p>
      <w:pPr>
        <w:spacing w:after="0" w:line="178" w:lineRule="exact"/>
        <w:rPr>
          <w:sz w:val="20"/>
          <w:szCs w:val="20"/>
          <w:color w:val="auto"/>
        </w:rPr>
      </w:pPr>
    </w:p>
    <w:p>
      <w:pPr>
        <w:ind w:right="20" w:firstLine="546"/>
        <w:spacing w:after="0" w:line="265" w:lineRule="auto"/>
        <w:rPr>
          <w:sz w:val="20"/>
          <w:szCs w:val="20"/>
          <w:color w:val="auto"/>
        </w:rPr>
      </w:pPr>
      <w:r>
        <w:rPr>
          <w:rFonts w:ascii="Arial" w:cs="Arial" w:eastAsia="Arial" w:hAnsi="Arial"/>
          <w:sz w:val="18"/>
          <w:szCs w:val="18"/>
          <w:color w:val="auto"/>
        </w:rPr>
        <w:t>Unless terminated earlier, the agreement expires upon the later of 15 years from the effective date or the expiration of the last valid claim of the licensed patents, subject to certain surviving rights and obligations. UoM and the Company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by the Company or its affiliates or sublicensees.</w:t>
      </w:r>
    </w:p>
    <w:p>
      <w:pPr>
        <w:spacing w:after="0" w:line="180" w:lineRule="exact"/>
        <w:rPr>
          <w:sz w:val="20"/>
          <w:szCs w:val="20"/>
          <w:color w:val="auto"/>
        </w:rPr>
      </w:pPr>
    </w:p>
    <w:p>
      <w:pPr>
        <w:ind w:right="400" w:firstLine="546"/>
        <w:spacing w:after="0" w:line="269" w:lineRule="auto"/>
        <w:rPr>
          <w:sz w:val="20"/>
          <w:szCs w:val="20"/>
          <w:color w:val="auto"/>
        </w:rPr>
      </w:pPr>
      <w:r>
        <w:rPr>
          <w:rFonts w:ascii="Arial" w:cs="Arial" w:eastAsia="Arial" w:hAnsi="Arial"/>
          <w:sz w:val="18"/>
          <w:szCs w:val="18"/>
          <w:color w:val="auto"/>
        </w:rPr>
        <w:t>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are currently estimated to equal approximately £9,100 in the aggregate.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year ended December 31, 2020, the Company recognized $565 of costs related to the CRFA.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Agreements with University Health Network (“UHN”)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certain improvements to the licensed intellectual property rights as well as an option to negotiate a license under certain other improvements.</w:t>
      </w:r>
    </w:p>
    <w:p>
      <w:pPr>
        <w:spacing w:after="0" w:line="225"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2"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61"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jc w:val="both"/>
        <w:ind w:right="20" w:firstLine="546"/>
        <w:spacing w:after="0" w:line="279" w:lineRule="auto"/>
        <w:rPr>
          <w:sz w:val="20"/>
          <w:szCs w:val="20"/>
          <w:color w:val="auto"/>
        </w:rPr>
      </w:pPr>
      <w:r>
        <w:rPr>
          <w:rFonts w:ascii="Arial" w:cs="Arial" w:eastAsia="Arial" w:hAnsi="Arial"/>
          <w:sz w:val="18"/>
          <w:szCs w:val="18"/>
          <w:color w:val="auto"/>
        </w:rPr>
        <w:t>For the years ended December 31, 2020 and 2019, the Company recorded research and development expense related to this agreement with UHN of $344 and $783, respectively, which consists of reimbursable funded study trial costs and license maintenance fees. No milestone fees were incurred related to the Fabry license agreement in the years ended December 31, 2020 and 2019.</w:t>
      </w:r>
    </w:p>
    <w:p>
      <w:pPr>
        <w:spacing w:after="0" w:line="27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and agreed to pay UHN up to $2,000 upon the closing of an IPO if certain criteria are met. The fair value of the shares issued to UHN of $480 and the upfront fee was expensed upon the execution of the agreement. Upon the closing of the IPO in 2018, as the criteria were met, the Company paid UHN $2,000.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82" w:lineRule="exact"/>
        <w:rPr>
          <w:sz w:val="20"/>
          <w:szCs w:val="20"/>
          <w:color w:val="auto"/>
        </w:rPr>
      </w:pPr>
    </w:p>
    <w:p>
      <w:pPr>
        <w:ind w:right="20" w:firstLine="546"/>
        <w:spacing w:after="0" w:line="275" w:lineRule="auto"/>
        <w:rPr>
          <w:sz w:val="20"/>
          <w:szCs w:val="20"/>
          <w:color w:val="auto"/>
        </w:rPr>
      </w:pPr>
      <w:r>
        <w:rPr>
          <w:rFonts w:ascii="Arial" w:cs="Arial" w:eastAsia="Arial" w:hAnsi="Arial"/>
          <w:sz w:val="17"/>
          <w:szCs w:val="17"/>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76" w:lineRule="exact"/>
        <w:rPr>
          <w:sz w:val="20"/>
          <w:szCs w:val="20"/>
          <w:color w:val="auto"/>
        </w:rPr>
      </w:pPr>
    </w:p>
    <w:p>
      <w:pPr>
        <w:ind w:right="20" w:firstLine="546"/>
        <w:spacing w:after="0" w:line="279" w:lineRule="auto"/>
        <w:rPr>
          <w:sz w:val="20"/>
          <w:szCs w:val="20"/>
          <w:color w:val="auto"/>
        </w:rPr>
      </w:pPr>
      <w:r>
        <w:rPr>
          <w:rFonts w:ascii="Arial" w:cs="Arial" w:eastAsia="Arial" w:hAnsi="Arial"/>
          <w:sz w:val="18"/>
          <w:szCs w:val="18"/>
          <w:color w:val="auto"/>
        </w:rPr>
        <w:t>For the years ended December 31, 2020 and 2019, the Company recorded research and development expense related to this agreement with UHN of $37 and $38, respectively, which consists of license maintenance fees. No milestone fees were incurred related to the Interleukin 12 license agreement in the years ended December 31, 2020 and 2019.</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4" w:name="page125"/>
    <w:bookmarkEnd w:id="124"/>
    <w:p>
      <w:pPr>
        <w:ind w:left="56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expenses related to the license were recorded for the years ended December 31, 2020 and 2019.</w:t>
      </w:r>
    </w:p>
    <w:p>
      <w:pPr>
        <w:spacing w:after="0" w:line="165" w:lineRule="exact"/>
        <w:rPr>
          <w:sz w:val="20"/>
          <w:szCs w:val="20"/>
          <w:color w:val="auto"/>
        </w:rPr>
      </w:pPr>
    </w:p>
    <w:p>
      <w:pPr>
        <w:ind w:right="60" w:firstLine="546"/>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w:t>
      </w:r>
    </w:p>
    <w:p>
      <w:pPr>
        <w:spacing w:after="0" w:line="209"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For the year ended December 31, 2020 the Company recorded no research and development expense related to milestone payments. For the year ended December 31, 2019 the Company recorded $2,000 related to milestone payments.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31"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expenses related to the license were recorded for the years ended December 31, 2020 and 2019.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4. Fair Value of Financial Assets and Liabilities</w:t>
      </w:r>
    </w:p>
    <w:p>
      <w:pPr>
        <w:spacing w:after="0" w:line="121" w:lineRule="exact"/>
        <w:rPr>
          <w:sz w:val="20"/>
          <w:szCs w:val="20"/>
          <w:color w:val="auto"/>
        </w:rPr>
      </w:pPr>
    </w:p>
    <w:p>
      <w:pPr>
        <w:ind w:right="40" w:firstLine="546"/>
        <w:spacing w:after="0" w:line="308"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and indicates the level of the fair value hierarchy utilized to determine such fair values as of December 31, 2020 and 2019:</w:t>
      </w:r>
    </w:p>
    <w:p>
      <w:pPr>
        <w:spacing w:after="0" w:line="151"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Fair Value Measurements as of</w:t>
      </w:r>
    </w:p>
    <w:p>
      <w:pPr>
        <w:jc w:val="center"/>
        <w:ind w:left="5120"/>
        <w:spacing w:after="0" w:line="236" w:lineRule="auto"/>
        <w:rPr>
          <w:sz w:val="20"/>
          <w:szCs w:val="20"/>
          <w:color w:val="auto"/>
        </w:rPr>
      </w:pPr>
      <w:r>
        <w:rPr>
          <w:rFonts w:ascii="Arial" w:cs="Arial" w:eastAsia="Arial" w:hAnsi="Arial"/>
          <w:sz w:val="14"/>
          <w:szCs w:val="14"/>
          <w:b w:val="1"/>
          <w:bCs w:val="1"/>
          <w:color w:val="auto"/>
        </w:rPr>
        <w:t>December 31, 2020</w:t>
      </w:r>
    </w:p>
    <w:tbl>
      <w:tblPr>
        <w:tblLayout w:type="fixed"/>
        <w:tblInd w:w="580" w:type="dxa"/>
        <w:tblCellMar>
          <w:top w:w="0" w:type="dxa"/>
          <w:left w:w="0" w:type="dxa"/>
          <w:bottom w:w="0" w:type="dxa"/>
          <w:right w:w="0" w:type="dxa"/>
        </w:tblCellMar>
      </w:tblPr>
      <w:tr>
        <w:trPr>
          <w:trHeight w:val="155"/>
        </w:trPr>
        <w:tc>
          <w:tcPr>
            <w:tcW w:w="5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Cash equivalents—money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44,416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44,416</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ind w:left="40"/>
              <w:spacing w:after="0"/>
              <w:rPr>
                <w:sz w:val="20"/>
                <w:szCs w:val="20"/>
                <w:color w:val="auto"/>
              </w:rPr>
            </w:pPr>
            <w:r>
              <w:rPr>
                <w:rFonts w:ascii="Arial" w:cs="Arial" w:eastAsia="Arial" w:hAnsi="Arial"/>
                <w:sz w:val="14"/>
                <w:szCs w:val="14"/>
                <w:b w:val="1"/>
                <w:bCs w:val="1"/>
                <w:color w:val="auto"/>
              </w:rPr>
              <w:t>Fair Value Measurements as of</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11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82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Cash equivalents—money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186,797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186,797</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years ended December 31, 2020 and 2019, there were no transfers between levels.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3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Tax incentive refund</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2,558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Prepaid research and development expenses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Prepaid compensation benefits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receivable</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271</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7,560</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2"/>
          </w:tcPr>
          <w:p>
            <w:pPr>
              <w:ind w:left="56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3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240" w:type="dxa"/>
            <w:vAlign w:val="bottom"/>
            <w:gridSpan w:val="2"/>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5,485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(2,421)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gridSpan w:val="2"/>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and amortization expense for the years ended December 31, 2020 and 2019 was $1,207 and $850, respectively.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702" w:right="8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right="420" w:firstLine="802"/>
        <w:spacing w:after="0" w:line="263" w:lineRule="auto"/>
        <w:rPr>
          <w:sz w:val="20"/>
          <w:szCs w:val="20"/>
          <w:color w:val="auto"/>
        </w:rPr>
      </w:pPr>
      <w:r>
        <w:rPr>
          <w:rFonts w:ascii="Arial" w:cs="Arial" w:eastAsia="Arial" w:hAnsi="Arial"/>
          <w:sz w:val="18"/>
          <w:szCs w:val="18"/>
          <w:color w:val="auto"/>
        </w:rPr>
        <w:t>As of December 31, 2020 and 2019, the Company had restricted cash as presented in the table below, which consists of cash used to secure letters of credit for the benefit of the landlord in connection with the Company’s lease agreements. The cash will be restricted until the termination or modification of the lease arrangement.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FF0FC"/>
          </w:tcPr>
          <w:p>
            <w:pPr>
              <w:spacing w:after="0"/>
              <w:rPr>
                <w:sz w:val="19"/>
                <w:szCs w:val="19"/>
                <w:color w:val="auto"/>
              </w:rPr>
            </w:pPr>
          </w:p>
        </w:tc>
      </w:tr>
      <w:tr>
        <w:trPr>
          <w:trHeight w:val="567"/>
        </w:trPr>
        <w:tc>
          <w:tcPr>
            <w:tcW w:w="5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5700" w:type="dxa"/>
            <w:vAlign w:val="bottom"/>
            <w:gridSpan w:val="2"/>
          </w:tcPr>
          <w:p>
            <w:pPr>
              <w:ind w:left="560"/>
              <w:spacing w:after="0"/>
              <w:rPr>
                <w:sz w:val="20"/>
                <w:szCs w:val="20"/>
                <w:color w:val="auto"/>
              </w:rPr>
            </w:pPr>
            <w:r>
              <w:rPr>
                <w:rFonts w:ascii="Arial" w:cs="Arial" w:eastAsia="Arial" w:hAnsi="Arial"/>
                <w:sz w:val="18"/>
                <w:szCs w:val="18"/>
                <w:color w:val="auto"/>
              </w:rPr>
              <w:t>Accrued expenses consisted of the following:</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17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5"/>
        </w:trPr>
        <w:tc>
          <w:tcPr>
            <w:tcW w:w="170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benefit costs</w:t>
            </w: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w:t>
            </w:r>
          </w:p>
        </w:tc>
        <w:tc>
          <w:tcPr>
            <w:tcW w:w="80" w:type="dxa"/>
            <w:vAlign w:val="bottom"/>
            <w:shd w:val="clear" w:color="auto" w:fill="CFF0FC"/>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5,794</w:t>
            </w: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professional fees</w:t>
            </w: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FF0FC"/>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FF0FC"/>
            </w:tcBorders>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13,693</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Agreements</w:t>
      </w:r>
    </w:p>
    <w:p>
      <w:pPr>
        <w:spacing w:after="0" w:line="117" w:lineRule="exact"/>
        <w:rPr>
          <w:sz w:val="20"/>
          <w:szCs w:val="20"/>
          <w:color w:val="auto"/>
        </w:rPr>
      </w:pPr>
    </w:p>
    <w:p>
      <w:pPr>
        <w:ind w:right="40" w:firstLine="546"/>
        <w:spacing w:after="0" w:line="296" w:lineRule="auto"/>
        <w:rPr>
          <w:sz w:val="20"/>
          <w:szCs w:val="20"/>
          <w:color w:val="auto"/>
        </w:rPr>
      </w:pPr>
      <w:r>
        <w:rPr>
          <w:rFonts w:ascii="Arial" w:cs="Arial" w:eastAsia="Arial" w:hAnsi="Arial"/>
          <w:sz w:val="16"/>
          <w:szCs w:val="16"/>
          <w:color w:val="auto"/>
        </w:rPr>
        <w:t>On January 12, 2018, the Company entered into a lease agreement for office space located in Cambridge, Massachusetts. The lease agreement expires in January 2023. The annual lease payments are subject to a 3% increase each year. The Company recognizes rent expense on a straight-line basis over the lease period and has recorded deferred rent for rent expense incurred but not yet paid. The Company received a tenant incentive allowance of $842 in 2018. Such incentive allowance is being amortized as a reduction of rent expense on a straight-line basis over the lease period. In accordance with the lease agreement, the Company is required to maintain a security deposit of $209, which was recorded in restricted cash as of December 31, 2020 and 2019.</w:t>
      </w:r>
    </w:p>
    <w:p>
      <w:pPr>
        <w:spacing w:after="0" w:line="161"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On August 31, 2018, the Company entered into a sub-lease agreement for lab space located in Cambridge Massachusetts, United States, which was set to expire in October 2020. On June 9, 2020, the Company amended the terms of the sublease, which is now set to expire in April 2022. The annual lease payments are subject to a 5% increase each year. In accordance with the lease agreement, the Company is required to maintain a security deposit of $283, which was recorded in restricted cash as of December 31, 2020 and 2019.</w:t>
      </w:r>
    </w:p>
    <w:p>
      <w:pPr>
        <w:spacing w:after="0" w:line="187" w:lineRule="exact"/>
        <w:rPr>
          <w:sz w:val="20"/>
          <w:szCs w:val="20"/>
          <w:color w:val="auto"/>
        </w:rPr>
      </w:pPr>
    </w:p>
    <w:p>
      <w:pPr>
        <w:ind w:right="260" w:firstLine="546"/>
        <w:spacing w:after="0" w:line="311" w:lineRule="auto"/>
        <w:rPr>
          <w:sz w:val="20"/>
          <w:szCs w:val="20"/>
          <w:color w:val="auto"/>
        </w:rPr>
      </w:pPr>
      <w:r>
        <w:rPr>
          <w:rFonts w:ascii="Arial" w:cs="Arial" w:eastAsia="Arial" w:hAnsi="Arial"/>
          <w:sz w:val="16"/>
          <w:szCs w:val="16"/>
          <w:color w:val="auto"/>
        </w:rPr>
        <w:t>On June 1, 2020, the Company entered into a lease agreement for office space located in Toronto, Ontario, Canada, which is set to expire in June 2025. The annual lease payments are fixed for years 1 and 2, and then subject to a 6.67% increase for years 3 through 5. In accordance with the lease agreement, the Company is required to maintain a security deposit of CAD $27, which was recorded in other long-term assets as of December 31, 2020.</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recorded rent expense of $2,352 and $2,257 during the years ended December 31, 2020 and 2019, respectively.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future minimum lease payments due under operating leases as of December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gridSpan w:val="2"/>
          </w:tcPr>
          <w:p>
            <w:pPr>
              <w:ind w:left="2260"/>
              <w:spacing w:after="0"/>
              <w:rPr>
                <w:sz w:val="20"/>
                <w:szCs w:val="20"/>
                <w:color w:val="auto"/>
              </w:rPr>
            </w:pPr>
            <w:r>
              <w:rPr>
                <w:rFonts w:ascii="Arial" w:cs="Arial" w:eastAsia="Arial" w:hAnsi="Arial"/>
                <w:sz w:val="14"/>
                <w:szCs w:val="14"/>
                <w:b w:val="1"/>
                <w:bCs w:val="1"/>
                <w:color w:val="auto"/>
              </w:rPr>
              <w:t>Year Ending December 31,</w:t>
            </w: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230"/>
        </w:trPr>
        <w:tc>
          <w:tcPr>
            <w:tcW w:w="2260" w:type="dxa"/>
            <w:vAlign w:val="bottom"/>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50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2,078</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2022</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1,297</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2024</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3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w:t>
            </w:r>
          </w:p>
        </w:tc>
        <w:tc>
          <w:tcPr>
            <w:tcW w:w="224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13"/>
        </w:trPr>
        <w:tc>
          <w:tcPr>
            <w:tcW w:w="2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500" w:type="dxa"/>
            <w:vAlign w:val="bottom"/>
            <w:gridSpan w:val="2"/>
          </w:tcPr>
          <w:p>
            <w:pPr>
              <w:jc w:val="right"/>
              <w:ind w:right="2307"/>
              <w:spacing w:after="0"/>
              <w:rPr>
                <w:sz w:val="20"/>
                <w:szCs w:val="20"/>
                <w:color w:val="auto"/>
              </w:rPr>
            </w:pPr>
            <w:r>
              <w:rPr>
                <w:rFonts w:ascii="Arial" w:cs="Arial" w:eastAsia="Arial" w:hAnsi="Arial"/>
                <w:sz w:val="18"/>
                <w:szCs w:val="18"/>
                <w:color w:val="auto"/>
              </w:rPr>
              <w:t>F-17</w:t>
            </w:r>
          </w:p>
        </w:tc>
        <w:tc>
          <w:tcPr>
            <w:tcW w:w="8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i w:val="1"/>
          <w:iCs w:val="1"/>
          <w:color w:val="auto"/>
        </w:rPr>
        <w:t>Other Funding Commitments</w:t>
      </w:r>
    </w:p>
    <w:p>
      <w:pPr>
        <w:spacing w:after="0" w:line="117" w:lineRule="exact"/>
        <w:rPr>
          <w:sz w:val="20"/>
          <w:szCs w:val="20"/>
          <w:color w:val="auto"/>
        </w:rPr>
      </w:pPr>
    </w:p>
    <w:p>
      <w:pPr>
        <w:ind w:right="140" w:firstLine="802"/>
        <w:spacing w:after="0" w:line="259" w:lineRule="auto"/>
        <w:rPr>
          <w:sz w:val="20"/>
          <w:szCs w:val="20"/>
          <w:color w:val="auto"/>
        </w:rPr>
      </w:pPr>
      <w:r>
        <w:rPr>
          <w:rFonts w:ascii="Arial" w:cs="Arial" w:eastAsia="Arial" w:hAnsi="Arial"/>
          <w:sz w:val="18"/>
          <w:szCs w:val="18"/>
          <w:color w:val="auto"/>
        </w:rPr>
        <w:t>As of December 31, 2020, the Company had several ongoing clinical and non-clinical studies for its various pipeline programs. The Company enters into contracts in the normal course of business with contract research organizations and clinical sites for the conduct of clinical trials, professional consultants for expert advice and other vendors for clinical supply manufacturing or other services. These contracts are generally cancellable, with notice, at the Company’s option and do not have significant cancellation penalties.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firstLine="802"/>
        <w:spacing w:after="0" w:line="293" w:lineRule="auto"/>
        <w:rPr>
          <w:sz w:val="20"/>
          <w:szCs w:val="20"/>
          <w:color w:val="auto"/>
        </w:rPr>
      </w:pPr>
      <w:r>
        <w:rPr>
          <w:rFonts w:ascii="Arial" w:cs="Arial" w:eastAsia="Arial" w:hAnsi="Arial"/>
          <w:sz w:val="16"/>
          <w:szCs w:val="16"/>
          <w:color w:val="auto"/>
        </w:rPr>
        <w:t>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years ended December 31, 2020 and 2019, and to the best of its knowledge, no material legal proceedings are currently pending or threatened.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firstLine="546"/>
        <w:spacing w:after="0" w:line="286" w:lineRule="auto"/>
        <w:rPr>
          <w:sz w:val="20"/>
          <w:szCs w:val="20"/>
          <w:color w:val="auto"/>
        </w:rPr>
      </w:pPr>
      <w:r>
        <w:rPr>
          <w:rFonts w:ascii="Arial" w:cs="Arial" w:eastAsia="Arial" w:hAnsi="Arial"/>
          <w:sz w:val="17"/>
          <w:szCs w:val="17"/>
          <w:color w:val="auto"/>
        </w:rPr>
        <w:t xml:space="preserve">The Company is also party to various agreements, principally relating to licensed technology, that require future payments relating to milestones not met as of December 31, 2020 and 2019, or royalties on future sales of specified products. No milestone or royalty payments under these agreements are expected to be payable in the immediate future. See Note 3 </w:t>
      </w:r>
      <w:r>
        <w:rPr>
          <w:rFonts w:ascii="Arial" w:cs="Arial" w:eastAsia="Arial" w:hAnsi="Arial"/>
          <w:sz w:val="17"/>
          <w:szCs w:val="17"/>
          <w:i w:val="1"/>
          <w:iCs w:val="1"/>
          <w:color w:val="auto"/>
        </w:rPr>
        <w:t>“Licenses Agreements”</w:t>
      </w:r>
      <w:r>
        <w:rPr>
          <w:rFonts w:ascii="Arial" w:cs="Arial" w:eastAsia="Arial" w:hAnsi="Arial"/>
          <w:sz w:val="17"/>
          <w:szCs w:val="17"/>
          <w:color w:val="auto"/>
        </w:rPr>
        <w:t xml:space="preserve"> for discussion of these arrangements.</w:t>
      </w:r>
    </w:p>
    <w:p>
      <w:pPr>
        <w:spacing w:after="0" w:line="165"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firstLine="546"/>
        <w:spacing w:after="0" w:line="342" w:lineRule="auto"/>
        <w:rPr>
          <w:sz w:val="20"/>
          <w:szCs w:val="20"/>
          <w:color w:val="auto"/>
        </w:rPr>
      </w:pPr>
      <w:r>
        <w:rPr>
          <w:rFonts w:ascii="Arial" w:cs="Arial" w:eastAsia="Arial" w:hAnsi="Arial"/>
          <w:sz w:val="16"/>
          <w:szCs w:val="16"/>
          <w:color w:val="auto"/>
        </w:rPr>
        <w:t>As of December 31, 2020 and 2019, the authorized capital stock of the Company included 150,000,000 shares of common stock, $0.0001 par value, and 10,000,000 shares of undesignated preferred stock. As of December 31, 2020 and 2019, no undesignated shares of preferred stock were outstanding.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28" w:name="page129"/>
    <w:bookmarkEnd w:id="128"/>
    <w:p>
      <w:pPr>
        <w:ind w:firstLine="546"/>
        <w:spacing w:after="0" w:line="291" w:lineRule="auto"/>
        <w:rPr>
          <w:sz w:val="20"/>
          <w:szCs w:val="20"/>
          <w:color w:val="auto"/>
        </w:rPr>
      </w:pPr>
      <w:r>
        <w:rPr>
          <w:rFonts w:ascii="Arial" w:cs="Arial" w:eastAsia="Arial" w:hAnsi="Arial"/>
          <w:sz w:val="16"/>
          <w:szCs w:val="16"/>
          <w:color w:val="auto"/>
        </w:rPr>
        <w:t>In accordance to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Through December 31, 2020, no cash dividends have been declared or paid.</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7" w:lineRule="exact"/>
        <w:rPr>
          <w:sz w:val="20"/>
          <w:szCs w:val="20"/>
          <w:color w:val="auto"/>
        </w:rPr>
      </w:pPr>
    </w:p>
    <w:p>
      <w:pPr>
        <w:ind w:right="140" w:firstLine="546"/>
        <w:spacing w:after="0" w:line="265" w:lineRule="auto"/>
        <w:rPr>
          <w:sz w:val="20"/>
          <w:szCs w:val="20"/>
          <w:color w:val="auto"/>
        </w:rPr>
      </w:pPr>
      <w:r>
        <w:rPr>
          <w:rFonts w:ascii="Arial" w:cs="Arial" w:eastAsia="Arial" w:hAnsi="Arial"/>
          <w:sz w:val="18"/>
          <w:szCs w:val="18"/>
          <w:color w:val="auto"/>
        </w:rPr>
        <w:t>In July 2019, the Company closed an underwritten public offering of 7,475,000 shares of its common stock at a public offering price of $18.50 per share (the “July 2019 Follow-on Offering”), which included 975,000 shares of the Company’s common stock resulting from the full exercise of the underwriters’ option to purchase additional shares at the public offering price, less underwriting discounts and commissions. The net proceeds to the Company from the July 2019 Follow-on Offering, after deducting underwriting discounts and commissions and other offering expenses payable by the Company, were $129,464.</w:t>
      </w:r>
    </w:p>
    <w:p>
      <w:pPr>
        <w:spacing w:after="0" w:line="180" w:lineRule="exact"/>
        <w:rPr>
          <w:sz w:val="20"/>
          <w:szCs w:val="20"/>
          <w:color w:val="auto"/>
        </w:rPr>
      </w:pPr>
    </w:p>
    <w:p>
      <w:pPr>
        <w:ind w:right="60" w:firstLine="546"/>
        <w:spacing w:after="0" w:line="279" w:lineRule="auto"/>
        <w:rPr>
          <w:sz w:val="20"/>
          <w:szCs w:val="20"/>
          <w:color w:val="auto"/>
        </w:rPr>
      </w:pPr>
      <w:r>
        <w:rPr>
          <w:rFonts w:ascii="Arial" w:cs="Arial" w:eastAsia="Arial" w:hAnsi="Arial"/>
          <w:sz w:val="18"/>
          <w:szCs w:val="18"/>
          <w:color w:val="auto"/>
        </w:rPr>
        <w:t>In February 2020, the Company closed an underwritten public offering of 4,350,000 shares of its common stock at a public offering price of $23.00 per share (the “February 2020 Follow-on Offering”). The net proceeds to the Company from the February 2020 Follow-on Offering, after deducting underwriting discounts and commissions and other offering expenses payable by the Company, were $93,627.</w:t>
      </w:r>
    </w:p>
    <w:p>
      <w:pPr>
        <w:spacing w:after="0" w:line="169" w:lineRule="exact"/>
        <w:rPr>
          <w:sz w:val="20"/>
          <w:szCs w:val="20"/>
          <w:color w:val="auto"/>
        </w:rPr>
      </w:pPr>
    </w:p>
    <w:p>
      <w:pPr>
        <w:ind w:right="80" w:firstLine="546"/>
        <w:spacing w:after="0" w:line="263" w:lineRule="auto"/>
        <w:rPr>
          <w:sz w:val="20"/>
          <w:szCs w:val="20"/>
          <w:color w:val="auto"/>
        </w:rPr>
      </w:pPr>
      <w:r>
        <w:rPr>
          <w:rFonts w:ascii="Arial" w:cs="Arial" w:eastAsia="Arial" w:hAnsi="Arial"/>
          <w:sz w:val="18"/>
          <w:szCs w:val="18"/>
          <w:color w:val="auto"/>
        </w:rPr>
        <w:t>In June 2020, the Company sold an aggregate of 384,140 shares of common stock under its “at-the-market” facility (the “ATM Facility”) for net proceeds, after deducting commissions and other offering expenses payable by the Company, of $8,130. As of December 31, 2020, approximately $41,549 of common stock remained available for future issuance under the ATM Facility.</w:t>
      </w:r>
    </w:p>
    <w:p>
      <w:pPr>
        <w:spacing w:after="0" w:line="184" w:lineRule="exact"/>
        <w:rPr>
          <w:sz w:val="20"/>
          <w:szCs w:val="20"/>
          <w:color w:val="auto"/>
        </w:rPr>
      </w:pPr>
    </w:p>
    <w:p>
      <w:pPr>
        <w:jc w:val="both"/>
        <w:ind w:right="500" w:firstLine="546"/>
        <w:spacing w:after="0" w:line="303" w:lineRule="auto"/>
        <w:rPr>
          <w:sz w:val="20"/>
          <w:szCs w:val="20"/>
          <w:color w:val="auto"/>
        </w:rPr>
      </w:pPr>
      <w:r>
        <w:rPr>
          <w:rFonts w:ascii="Arial" w:cs="Arial" w:eastAsia="Arial" w:hAnsi="Arial"/>
          <w:sz w:val="17"/>
          <w:szCs w:val="17"/>
          <w:color w:val="auto"/>
        </w:rPr>
        <w:t>In November 2020, the Company closed an underwritten public offering of 5,000,000 shares of its common stock at a public offering price of $15.00 per share (the “November 2020 Follow-on Offering”). The net proceeds to the Company from the November 2020 Follow-on Offering, after deducting underwriting discounts and commissions and other offering expenses payable by the Company, were $70,221.</w:t>
      </w:r>
    </w:p>
    <w:p>
      <w:pPr>
        <w:spacing w:after="0" w:line="25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and 2019, the Company has reserved the following shares of common stock for future issuance: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0"/>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4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5,559,545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3,414,445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vesting of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Shares reserved for issuance under the 2018 Stock Option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and Incentive Plan</w:t>
            </w:r>
          </w:p>
        </w:tc>
        <w:tc>
          <w:tcPr>
            <w:tcW w:w="1080" w:type="dxa"/>
            <w:vAlign w:val="bottom"/>
          </w:tcPr>
          <w:p>
            <w:pPr>
              <w:jc w:val="right"/>
              <w:spacing w:after="0"/>
              <w:rPr>
                <w:sz w:val="20"/>
                <w:szCs w:val="20"/>
                <w:color w:val="auto"/>
              </w:rPr>
            </w:pPr>
            <w:r>
              <w:rPr>
                <w:rFonts w:ascii="Arial" w:cs="Arial" w:eastAsia="Arial" w:hAnsi="Arial"/>
                <w:sz w:val="18"/>
                <w:szCs w:val="18"/>
                <w:color w:val="auto"/>
              </w:rPr>
              <w:t>3,877,478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332,513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issuance under the 2018 Employee</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Purchase 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762,900</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459,595</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Shares reserved for issuance under the 2019 Inducement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tcPr>
          <w:p>
            <w:pPr>
              <w:jc w:val="right"/>
              <w:spacing w:after="0"/>
              <w:rPr>
                <w:sz w:val="20"/>
                <w:szCs w:val="20"/>
                <w:color w:val="auto"/>
              </w:rPr>
            </w:pPr>
            <w:r>
              <w:rPr>
                <w:rFonts w:ascii="Arial" w:cs="Arial" w:eastAsia="Arial" w:hAnsi="Arial"/>
                <w:sz w:val="18"/>
                <w:szCs w:val="18"/>
                <w:color w:val="auto"/>
              </w:rPr>
              <w:t>365,050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1,800,000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issuance under the 2020 Inducement</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1,700,000</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120" w:type="dxa"/>
            <w:vAlign w:val="bottom"/>
            <w:gridSpan w:val="2"/>
          </w:tcPr>
          <w:p>
            <w:pPr>
              <w:ind w:left="1700"/>
              <w:spacing w:after="0"/>
              <w:rPr>
                <w:sz w:val="20"/>
                <w:szCs w:val="20"/>
                <w:color w:val="auto"/>
              </w:rPr>
            </w:pPr>
            <w:r>
              <w:rPr>
                <w:rFonts w:ascii="Arial" w:cs="Arial" w:eastAsia="Arial" w:hAnsi="Arial"/>
                <w:sz w:val="18"/>
                <w:szCs w:val="18"/>
                <w:color w:val="auto"/>
              </w:rPr>
              <w:t>Total shares of authorized common stock reserved for</w:t>
            </w: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future issuance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12,266,171</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6,039,105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420" w:type="dxa"/>
            <w:vAlign w:val="bottom"/>
            <w:vMerge w:val="restart"/>
          </w:tcPr>
          <w:p>
            <w:pPr>
              <w:ind w:left="3760"/>
              <w:spacing w:after="0"/>
              <w:rPr>
                <w:sz w:val="20"/>
                <w:szCs w:val="20"/>
                <w:color w:val="auto"/>
              </w:rPr>
            </w:pPr>
            <w:r>
              <w:rPr>
                <w:rFonts w:ascii="Arial" w:cs="Arial" w:eastAsia="Arial" w:hAnsi="Arial"/>
                <w:sz w:val="18"/>
                <w:szCs w:val="18"/>
                <w:color w:val="auto"/>
              </w:rPr>
              <w:t>F-19</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right="220" w:firstLine="546"/>
        <w:spacing w:after="0" w:line="301" w:lineRule="auto"/>
        <w:rPr>
          <w:sz w:val="20"/>
          <w:szCs w:val="20"/>
          <w:color w:val="auto"/>
        </w:rPr>
      </w:pPr>
      <w:r>
        <w:rPr>
          <w:rFonts w:ascii="Arial" w:cs="Arial" w:eastAsia="Arial" w:hAnsi="Arial"/>
          <w:sz w:val="16"/>
          <w:szCs w:val="16"/>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7"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The total number of common shares that may be issued under the 2015 Plan was 2,008,564 shares. Following the IPO, no further grants have been made under 2015 plan.</w:t>
      </w:r>
    </w:p>
    <w:p>
      <w:pPr>
        <w:spacing w:after="0" w:line="170"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Shares that expire, are terminated, surrendered or cancelled under the 2015 Plan without having been fully exercised will be available for future awards under the 2018 Plan (as defined below). In addition, shares of common stock that are tendered to the Company by a participant to exercise an award are added to the number of shares of common stock available for future awards.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7" w:lineRule="exact"/>
        <w:rPr>
          <w:sz w:val="20"/>
          <w:szCs w:val="20"/>
          <w:color w:val="auto"/>
        </w:rPr>
      </w:pPr>
    </w:p>
    <w:p>
      <w:pPr>
        <w:ind w:right="60" w:firstLine="546"/>
        <w:spacing w:after="0" w:line="257" w:lineRule="auto"/>
        <w:rPr>
          <w:sz w:val="20"/>
          <w:szCs w:val="20"/>
          <w:color w:val="auto"/>
        </w:rPr>
      </w:pPr>
      <w:r>
        <w:rPr>
          <w:rFonts w:ascii="Arial" w:cs="Arial" w:eastAsia="Arial" w:hAnsi="Arial"/>
          <w:sz w:val="18"/>
          <w:szCs w:val="18"/>
          <w:color w:val="auto"/>
        </w:rPr>
        <w:t>The Company’s 2018 Stock Option and Incentive Plan (the “2018 Plan”) was adopted by the Board on June 1, 2018 and approved by stockholders on June 7, 2018 and became effective upon the effectiveness of the Company’s Registration Statement on Form S-1. The 2018 Plan replaced the 2015 Plan as the Board determined not to make additional awards under the 2015 Plan following the pricing of the Company’s IPO. The 2018 Plan allows the Board, compensation committee or other designated committee to make equity-based and cash-based incentive awards to its officers, employees, directors and other key persons (including consultants).</w:t>
      </w:r>
    </w:p>
    <w:p>
      <w:pPr>
        <w:spacing w:after="0" w:line="188"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The Company initially reserved 616,300 shares of its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its Board or compensation committee (the “Plan Evergreen”). This number is subject to adjustment in the event of a stock split, stock dividend or other change in its capitalization.</w:t>
      </w:r>
    </w:p>
    <w:p>
      <w:pPr>
        <w:spacing w:after="0" w:line="188" w:lineRule="exact"/>
        <w:rPr>
          <w:sz w:val="20"/>
          <w:szCs w:val="20"/>
          <w:color w:val="auto"/>
        </w:rPr>
      </w:pPr>
    </w:p>
    <w:p>
      <w:pPr>
        <w:jc w:val="both"/>
        <w:ind w:right="160" w:firstLine="546"/>
        <w:spacing w:after="0" w:line="311" w:lineRule="auto"/>
        <w:rPr>
          <w:sz w:val="20"/>
          <w:szCs w:val="20"/>
          <w:color w:val="auto"/>
        </w:rPr>
      </w:pPr>
      <w:r>
        <w:rPr>
          <w:rFonts w:ascii="Arial" w:cs="Arial" w:eastAsia="Arial" w:hAnsi="Arial"/>
          <w:sz w:val="16"/>
          <w:szCs w:val="16"/>
          <w:color w:val="auto"/>
        </w:rPr>
        <w:t>On April 16, 2020, the Board adopted an amendment to the 2018 Plan (the “Amendment”), to (i) increase the number of shares of common stock currently reserved for issuance under the 2018 Plan by 3,300,000 shares and (ii) automatically terminate the 2018 Plan’s annual increase (or “evergreen”) provision after January 2022. The Amendment was approved by the Board on June 4, 2020 and the Company’s stockholders on June 4, 2020.</w:t>
      </w:r>
    </w:p>
    <w:p>
      <w:pPr>
        <w:spacing w:after="0" w:line="149" w:lineRule="exact"/>
        <w:rPr>
          <w:sz w:val="20"/>
          <w:szCs w:val="20"/>
          <w:color w:val="auto"/>
        </w:rPr>
      </w:pPr>
    </w:p>
    <w:p>
      <w:pPr>
        <w:ind w:right="360" w:firstLine="546"/>
        <w:spacing w:after="0" w:line="342" w:lineRule="auto"/>
        <w:rPr>
          <w:sz w:val="20"/>
          <w:szCs w:val="20"/>
          <w:color w:val="auto"/>
        </w:rPr>
      </w:pPr>
      <w:r>
        <w:rPr>
          <w:rFonts w:ascii="Arial" w:cs="Arial" w:eastAsia="Arial" w:hAnsi="Arial"/>
          <w:sz w:val="16"/>
          <w:szCs w:val="16"/>
          <w:color w:val="auto"/>
        </w:rPr>
        <w:t>The number of shares of common stock available for future grant under the 2018 Plan was 3,877,478 as of December 31, 2020, which does not include the shares added to the 2018 Plan reserve on January 1, 2021 as a result of the Plan Evergreen for the year ended December 31, 2020.</w:t>
      </w:r>
    </w:p>
    <w:p>
      <w:pPr>
        <w:spacing w:after="0" w:line="124"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During the years ended December 31, 2020 and 2019, the Company granted options to purchase 3,019,663 and, 1,677,967 shares, respectively, of common stock to employees, nonemployees and members of the Board.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jc w:val="both"/>
        <w:ind w:right="300" w:firstLine="546"/>
        <w:spacing w:after="0" w:line="263" w:lineRule="auto"/>
        <w:rPr>
          <w:sz w:val="20"/>
          <w:szCs w:val="20"/>
          <w:color w:val="auto"/>
        </w:rPr>
      </w:pPr>
      <w:r>
        <w:rPr>
          <w:rFonts w:ascii="Arial" w:cs="Arial" w:eastAsia="Arial" w:hAnsi="Arial"/>
          <w:sz w:val="18"/>
          <w:szCs w:val="18"/>
          <w:color w:val="auto"/>
        </w:rPr>
        <w:t>The Company’s 2018 Employee Stock Purchase Plan (the “ESPP”) was adopted by the Board on June 1, 2018 and approved by stockholders on June 7, 2018 and became effective upon the effectiveness of the Company’s Registration Statement on Form S-1. The ESPP is intended to qualify as an “employee sto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30" w:name="page131"/>
    <w:bookmarkEnd w:id="130"/>
    <w:p>
      <w:pPr>
        <w:ind w:right="100"/>
        <w:spacing w:after="0" w:line="255" w:lineRule="auto"/>
        <w:rPr>
          <w:sz w:val="20"/>
          <w:szCs w:val="20"/>
          <w:color w:val="auto"/>
        </w:rPr>
      </w:pPr>
      <w:r>
        <w:rPr>
          <w:rFonts w:ascii="Arial" w:cs="Arial" w:eastAsia="Arial" w:hAnsi="Arial"/>
          <w:sz w:val="18"/>
          <w:szCs w:val="18"/>
          <w:color w:val="auto"/>
        </w:rPr>
        <w:t>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 (i) 1% of the outstanding number of shares of our common stock on the immediately preceding December 31; (ii) 1,115,700 shares or (iii) such number of shares as determined by the ESPP administrator (the “ESPP Evergreen”). The number of shares reserved under the ESPP is subject to adjustment in the event of a stock split, stock dividend or other change in our capitalization.</w:t>
      </w:r>
    </w:p>
    <w:p>
      <w:pPr>
        <w:spacing w:after="0" w:line="192" w:lineRule="exact"/>
        <w:rPr>
          <w:sz w:val="20"/>
          <w:szCs w:val="20"/>
          <w:color w:val="auto"/>
        </w:rPr>
      </w:pPr>
    </w:p>
    <w:p>
      <w:pPr>
        <w:ind w:right="280" w:firstLine="546"/>
        <w:spacing w:after="0" w:line="259" w:lineRule="auto"/>
        <w:rPr>
          <w:sz w:val="20"/>
          <w:szCs w:val="20"/>
          <w:color w:val="auto"/>
        </w:rPr>
      </w:pPr>
      <w:r>
        <w:rPr>
          <w:rFonts w:ascii="Arial" w:cs="Arial" w:eastAsia="Arial" w:hAnsi="Arial"/>
          <w:sz w:val="18"/>
          <w:szCs w:val="18"/>
          <w:color w:val="auto"/>
        </w:rPr>
        <w:t>During the years ended December 31, 2020 and 2019, the Company issued 13,425 and 1,671 shares, respectively of common stock. The total number of shares of common stock that may be issued under the ESPP was 762,900 shares as of December 31, 2020, of which 762,900 shares remained available for future grant, and which does not include the shares added to the ESPP reserve on January 1, 2021 as a result of the ESPP Evergreen for the year ended December 31, 2020.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2019 Inducement Plan</w:t>
      </w:r>
    </w:p>
    <w:p>
      <w:pPr>
        <w:spacing w:after="0" w:line="131" w:lineRule="exact"/>
        <w:rPr>
          <w:sz w:val="20"/>
          <w:szCs w:val="20"/>
          <w:color w:val="auto"/>
        </w:rPr>
      </w:pPr>
    </w:p>
    <w:p>
      <w:pPr>
        <w:ind w:right="400" w:firstLine="546"/>
        <w:spacing w:after="0" w:line="279" w:lineRule="auto"/>
        <w:rPr>
          <w:sz w:val="20"/>
          <w:szCs w:val="20"/>
          <w:color w:val="auto"/>
        </w:rPr>
      </w:pPr>
      <w:r>
        <w:rPr>
          <w:rFonts w:ascii="Arial" w:cs="Arial" w:eastAsia="Arial" w:hAnsi="Arial"/>
          <w:sz w:val="17"/>
          <w:szCs w:val="17"/>
          <w:color w:val="auto"/>
        </w:rPr>
        <w:t>The Company’s 2019 Inducement Plan (the “2019 Plan”) was adopted by the Board on December 11, 2019. The purpose of the 2019 Plan is to allow the Company to grant equity awards to new employees as inducements material to such new employee’s acceptance of employment with the Company. The Company intends that the shares underlying the 2019 Plan be reserved for persons to whom the Company may issue securities without stockholder approval as an inducement pursuant to Rule 5635(c)(4) of the Nasdaq marketplace rules.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initially reserved 1,800,000 shares of its common stock for the issuance of awards under the 2019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number of shares of common stock available for future grant under the 2019 Plan was 365,050 as of December 31, 2020.</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Inducement Plan</w:t>
      </w:r>
    </w:p>
    <w:p>
      <w:pPr>
        <w:spacing w:after="0" w:line="131"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The Company’s 2020 Inducement Plan (the “2020 Plan”) was adopted by the Board on December 9, 2020. The purpose of the 2020 Plan is to allow the Company to grant equity awards to new employees as inducements material to such new employee’s acceptance of employment with the Company. The Company intends that the shares underlying the 2020 Plan be reserved for persons to whom the Company may issue securities without stockholder approval as an inducement pursuant to Rule 5635(c)(4) of the Nasdaq marketplace rules.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initially reserved 1,700,000 shares of its common stock for the issuance of awards under the 2020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number of shares of common stock available for future grant under the 2020 Plan was 1,700,000 as of December 31, 2020.</w:t>
      </w:r>
    </w:p>
    <w:p>
      <w:pPr>
        <w:spacing w:after="0" w:line="3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75"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Year Ended</w:t>
      </w:r>
    </w:p>
    <w:p>
      <w:pPr>
        <w:jc w:val="center"/>
        <w:ind w:left="50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2880" w:type="dxa"/>
            <w:vAlign w:val="bottom"/>
            <w:tcBorders>
              <w:bottom w:val="single" w:sz="8" w:color="CFF0FC"/>
            </w:tcBorders>
          </w:tcPr>
          <w:p>
            <w:pPr>
              <w:spacing w:after="0"/>
              <w:rPr>
                <w:sz w:val="13"/>
                <w:szCs w:val="13"/>
                <w:color w:val="auto"/>
              </w:rPr>
            </w:pPr>
          </w:p>
        </w:tc>
        <w:tc>
          <w:tcPr>
            <w:tcW w:w="238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life (years)</w:t>
            </w:r>
          </w:p>
        </w:tc>
        <w:tc>
          <w:tcPr>
            <w:tcW w:w="2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740" w:type="dxa"/>
            <w:vAlign w:val="bottom"/>
            <w:gridSpan w:val="3"/>
          </w:tcPr>
          <w:p>
            <w:pPr>
              <w:jc w:val="right"/>
              <w:ind w:right="160"/>
              <w:spacing w:after="0"/>
              <w:rPr>
                <w:sz w:val="20"/>
                <w:szCs w:val="20"/>
                <w:color w:val="auto"/>
              </w:rPr>
            </w:pPr>
            <w:r>
              <w:rPr>
                <w:rFonts w:ascii="Arial" w:cs="Arial" w:eastAsia="Arial" w:hAnsi="Arial"/>
                <w:sz w:val="18"/>
                <w:szCs w:val="18"/>
                <w:color w:val="auto"/>
              </w:rPr>
              <w:t>0.76%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7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76.02%</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76.83%</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3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r>
      <w:tr>
        <w:trPr>
          <w:trHeight w:val="647"/>
        </w:trPr>
        <w:tc>
          <w:tcPr>
            <w:tcW w:w="1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40" w:type="dxa"/>
            <w:vAlign w:val="bottom"/>
            <w:gridSpan w:val="3"/>
          </w:tcPr>
          <w:p>
            <w:pPr>
              <w:jc w:val="right"/>
              <w:ind w:right="2520"/>
              <w:spacing w:after="0"/>
              <w:rPr>
                <w:sz w:val="20"/>
                <w:szCs w:val="20"/>
                <w:color w:val="auto"/>
              </w:rPr>
            </w:pPr>
            <w:r>
              <w:rPr>
                <w:rFonts w:ascii="Arial" w:cs="Arial" w:eastAsia="Arial" w:hAnsi="Arial"/>
                <w:sz w:val="18"/>
                <w:szCs w:val="18"/>
                <w:color w:val="auto"/>
              </w:rPr>
              <w:t>F-21</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1" w:name="page132"/>
    <w:bookmarkEnd w:id="131"/>
    <w:p>
      <w:pPr>
        <w:ind w:left="560"/>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4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1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4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160" w:type="dxa"/>
            <w:vAlign w:val="bottom"/>
          </w:tcPr>
          <w:p>
            <w:pPr>
              <w:jc w:val="right"/>
              <w:ind w:right="315"/>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Term (Years)</w:t>
            </w:r>
          </w:p>
        </w:tc>
        <w:tc>
          <w:tcPr>
            <w:tcW w:w="160" w:type="dxa"/>
            <w:vAlign w:val="bottom"/>
          </w:tcPr>
          <w:p>
            <w:pPr>
              <w:spacing w:after="0"/>
              <w:rPr>
                <w:sz w:val="14"/>
                <w:szCs w:val="14"/>
                <w:color w:val="auto"/>
              </w:rPr>
            </w:pPr>
          </w:p>
        </w:tc>
        <w:tc>
          <w:tcPr>
            <w:tcW w:w="1040" w:type="dxa"/>
            <w:vAlign w:val="bottom"/>
          </w:tcPr>
          <w:p>
            <w:pPr>
              <w:jc w:val="center"/>
              <w:ind w:right="19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1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3,414,445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12.08</w:t>
            </w: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8.43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29,353</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3,019,663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(147,335)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Cancelled or 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(727,228)</w:t>
            </w:r>
          </w:p>
        </w:tc>
        <w:tc>
          <w:tcPr>
            <w:tcW w:w="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tcPr>
          <w:p>
            <w:pPr>
              <w:jc w:val="right"/>
              <w:ind w:right="17"/>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5,559,545</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13,511</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7"/>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line="20" w:lineRule="exact"/>
              <w:rPr>
                <w:sz w:val="1"/>
                <w:szCs w:val="1"/>
                <w:color w:val="auto"/>
              </w:rPr>
            </w:pPr>
          </w:p>
        </w:tc>
        <w:tc>
          <w:tcPr>
            <w:tcW w:w="1160" w:type="dxa"/>
            <w:vAlign w:val="bottom"/>
            <w:vMerge w:val="restart"/>
          </w:tcPr>
          <w:p>
            <w:pPr>
              <w:jc w:val="right"/>
              <w:ind w:right="4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39"/>
              <w:spacing w:after="0"/>
              <w:rPr>
                <w:sz w:val="20"/>
                <w:szCs w:val="20"/>
                <w:color w:val="auto"/>
              </w:rPr>
            </w:pPr>
            <w:r>
              <w:rPr>
                <w:rFonts w:ascii="Arial" w:cs="Arial" w:eastAsia="Arial" w:hAnsi="Arial"/>
                <w:sz w:val="18"/>
                <w:szCs w:val="18"/>
                <w:color w:val="auto"/>
              </w:rPr>
              <w:t>11,188</w:t>
            </w:r>
          </w:p>
        </w:tc>
        <w:tc>
          <w:tcPr>
            <w:tcW w:w="0" w:type="dxa"/>
            <w:vAlign w:val="bottom"/>
          </w:tcPr>
          <w:p>
            <w:pPr>
              <w:spacing w:after="0" w:line="20" w:lineRule="exact"/>
              <w:rPr>
                <w:sz w:val="1"/>
                <w:szCs w:val="1"/>
                <w:color w:val="auto"/>
              </w:rPr>
            </w:pPr>
          </w:p>
        </w:tc>
      </w:tr>
      <w:tr>
        <w:trPr>
          <w:trHeight w:val="211"/>
        </w:trPr>
        <w:tc>
          <w:tcPr>
            <w:tcW w:w="5120" w:type="dxa"/>
            <w:vAlign w:val="bottom"/>
            <w:vMerge w:val="continue"/>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1,934,685</w:t>
            </w:r>
          </w:p>
        </w:tc>
        <w:tc>
          <w:tcPr>
            <w:tcW w:w="2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546"/>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aggregate intrinsic value of options exercised during the years ended December 31, 2020 and 2019 was $2,077 and $3,514, respectively.</w:t>
      </w:r>
    </w:p>
    <w:p>
      <w:pPr>
        <w:spacing w:after="0" w:line="237" w:lineRule="exact"/>
        <w:rPr>
          <w:sz w:val="20"/>
          <w:szCs w:val="20"/>
          <w:color w:val="auto"/>
        </w:rPr>
      </w:pPr>
    </w:p>
    <w:p>
      <w:pPr>
        <w:ind w:right="500" w:firstLine="546"/>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years ended December 31, 2020 and 2019 was $12.28 and $11.61, respectively.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The Company has granted restricted common stock (or restricted stock awards) with time-based vesting conditions to certain employees of the Company. The purchase price of the restricted stock awards are determined by the Board. Unvested shares of restricted stock awards may not be sold or transferred by the holder. These restrictions lapse according to the time-based vesting conditions of each award. The Company has the option to repurchase the restricted stock awards at the original purchase price if the grantee terminates its working relationship with the Company prior to the vesting date. There were no unvested restricted stock awards as of December 31, 2020.</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380" w:firstLine="546"/>
        <w:spacing w:after="0" w:line="277" w:lineRule="auto"/>
        <w:rPr>
          <w:sz w:val="20"/>
          <w:szCs w:val="20"/>
          <w:color w:val="auto"/>
        </w:rPr>
      </w:pPr>
      <w:r>
        <w:rPr>
          <w:rFonts w:ascii="Arial" w:cs="Arial" w:eastAsia="Arial" w:hAnsi="Arial"/>
          <w:sz w:val="18"/>
          <w:szCs w:val="18"/>
          <w:color w:val="auto"/>
        </w:rPr>
        <w:t>Restricted stock units represent an unsecured promise to grant at no cost a set number of shares of common stock upon vesting. With respect to restricted stock units, recipients are not entitled to cash dividends and have no voting rights during the vesting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Company’s restricted stock award and restricted stock unit activity for the year ended December 31, 2020:</w:t>
      </w:r>
    </w:p>
    <w:p>
      <w:pPr>
        <w:spacing w:after="0" w:line="24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 Shares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(31,354)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The total fair value of restricted stock awards and restricted stock units vested during the years ended December 31, 2020 and 2019 was $29 and $50,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2" w:name="page133"/>
    <w:bookmarkEnd w:id="132"/>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30"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Year Ended</w:t>
      </w:r>
    </w:p>
    <w:p>
      <w:pPr>
        <w:jc w:val="center"/>
        <w:ind w:left="52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6"/>
        </w:trPr>
        <w:tc>
          <w:tcPr>
            <w:tcW w:w="53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7,421</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15,628</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546"/>
        <w:spacing w:after="0" w:line="277" w:lineRule="auto"/>
        <w:rPr>
          <w:sz w:val="20"/>
          <w:szCs w:val="20"/>
          <w:color w:val="auto"/>
        </w:rPr>
      </w:pPr>
      <w:r>
        <w:rPr>
          <w:rFonts w:ascii="Arial" w:cs="Arial" w:eastAsia="Arial" w:hAnsi="Arial"/>
          <w:sz w:val="18"/>
          <w:szCs w:val="18"/>
          <w:color w:val="auto"/>
        </w:rPr>
        <w:t>As of December 31, 2020, total unrecognized compensation cost related to unvested stock-based awards was $36,045, which is expected to be recognized over a weighted-average period of 3.01 years.</w:t>
      </w:r>
    </w:p>
    <w:p>
      <w:pPr>
        <w:spacing w:after="0" w:line="211" w:lineRule="exact"/>
        <w:rPr>
          <w:sz w:val="20"/>
          <w:szCs w:val="20"/>
          <w:color w:val="auto"/>
        </w:rPr>
      </w:pPr>
    </w:p>
    <w:p>
      <w:pPr>
        <w:ind w:right="120" w:firstLine="546"/>
        <w:spacing w:after="0" w:line="263" w:lineRule="auto"/>
        <w:rPr>
          <w:sz w:val="20"/>
          <w:szCs w:val="20"/>
          <w:color w:val="auto"/>
        </w:rPr>
      </w:pPr>
      <w:r>
        <w:rPr>
          <w:rFonts w:ascii="Arial" w:cs="Arial" w:eastAsia="Arial" w:hAnsi="Arial"/>
          <w:sz w:val="18"/>
          <w:szCs w:val="18"/>
          <w:color w:val="auto"/>
        </w:rPr>
        <w:t>As of December 31, 2020, the Company modified certain awards in conjunction with employee terminations. The modification provided for the extension of the post-employment exercise period. The modifications resulted in approximately $417 of additional research and development expenses for the year ended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401(k) Savings Plan</w:t>
      </w:r>
    </w:p>
    <w:p>
      <w:pPr>
        <w:spacing w:after="0" w:line="121" w:lineRule="exact"/>
        <w:rPr>
          <w:sz w:val="20"/>
          <w:szCs w:val="20"/>
          <w:color w:val="auto"/>
        </w:rPr>
      </w:pPr>
    </w:p>
    <w:p>
      <w:pPr>
        <w:ind w:right="260" w:firstLine="546"/>
        <w:spacing w:after="0" w:line="279" w:lineRule="auto"/>
        <w:rPr>
          <w:sz w:val="20"/>
          <w:szCs w:val="20"/>
          <w:color w:val="auto"/>
        </w:rPr>
      </w:pPr>
      <w:r>
        <w:rPr>
          <w:rFonts w:ascii="Arial" w:cs="Arial" w:eastAsia="Arial" w:hAnsi="Arial"/>
          <w:sz w:val="17"/>
          <w:szCs w:val="17"/>
          <w:color w:val="auto"/>
        </w:rPr>
        <w:t>The Company established a defined contribution savings plan under Section 401(k) of the Internal Revenue Code. Eligible employees may make pretax contributions to the 401(k) Plan up to statutory limits. At the election of the Board, the Company may elect to match employee contributions. Currently, the Company makes matching contributions at a rate of 50% of the first 6% of employee contributions. The Company recorded $468 and $224 of expenses related to its 401(k) match for the years ended December 31, 2020 and 2019,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 xml:space="preserve">For the years ended December 31, 2020 and 2019, the Company did not record a current or deferred income tax expense or (benefit) due to current and historical losses incurred by the Company. The Company’s operations are predominantly based in the United States and the Company’s foreign subsidiaries generated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losses for the years ended December 31, 2020 and 2019.</w:t>
      </w:r>
    </w:p>
    <w:p>
      <w:pPr>
        <w:spacing w:after="0" w:line="184"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A reconciliation of income tax expense (benefit) computed at the statutory federal income tax rate to the Company’s effective tax rate as reflected in the consolidated financial statements is as follows:</w:t>
      </w:r>
    </w:p>
    <w:p>
      <w:pPr>
        <w:spacing w:after="0" w:line="175"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Year Ended</w:t>
      </w:r>
    </w:p>
    <w:p>
      <w:pPr>
        <w:jc w:val="center"/>
        <w:ind w:left="50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526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expense at statutory rate</w:t>
            </w:r>
          </w:p>
        </w:tc>
        <w:tc>
          <w:tcPr>
            <w:tcW w:w="6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-0.6%</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Foreign rate differential</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tax credits</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-28.3%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Provision to Return</w:t>
            </w:r>
          </w:p>
        </w:tc>
        <w:tc>
          <w:tcPr>
            <w:tcW w:w="6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ind w:left="1700"/>
              <w:spacing w:after="0"/>
              <w:rPr>
                <w:sz w:val="20"/>
                <w:szCs w:val="20"/>
                <w:color w:val="auto"/>
              </w:rPr>
            </w:pPr>
            <w:r>
              <w:rPr>
                <w:rFonts w:ascii="Arial" w:cs="Arial" w:eastAsia="Arial" w:hAnsi="Arial"/>
                <w:sz w:val="18"/>
                <w:szCs w:val="18"/>
                <w:color w:val="auto"/>
              </w:rPr>
              <w:t>Effective income tax rate</w:t>
            </w: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5920" w:type="dxa"/>
            <w:vAlign w:val="bottom"/>
            <w:gridSpan w:val="2"/>
          </w:tcPr>
          <w:p>
            <w:pPr>
              <w:ind w:left="3760"/>
              <w:spacing w:after="0"/>
              <w:rPr>
                <w:sz w:val="20"/>
                <w:szCs w:val="20"/>
                <w:color w:val="auto"/>
              </w:rPr>
            </w:pPr>
            <w:r>
              <w:rPr>
                <w:rFonts w:ascii="Arial" w:cs="Arial" w:eastAsia="Arial" w:hAnsi="Arial"/>
                <w:sz w:val="18"/>
                <w:szCs w:val="18"/>
                <w:color w:val="auto"/>
              </w:rPr>
              <w:t>F-23</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3" w:name="page134"/>
    <w:bookmarkEnd w:id="133"/>
    <w:p>
      <w:pPr>
        <w:ind w:left="56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Company’s deferred tax assets and liabilities are comprised of the following:</w:t>
      </w:r>
    </w:p>
    <w:p>
      <w:pPr>
        <w:spacing w:after="0" w:line="297"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U.S., foreign and state net operating loss carryforwards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57,705</w:t>
            </w:r>
          </w:p>
        </w:tc>
        <w:tc>
          <w:tcPr>
            <w:tcW w:w="140" w:type="dxa"/>
            <w:vAlign w:val="bottom"/>
          </w:tcPr>
          <w:p>
            <w:pPr>
              <w:spacing w:after="0"/>
              <w:rPr>
                <w:sz w:val="19"/>
                <w:szCs w:val="19"/>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33,594</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Capitalized start up and organizational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Equity based compensation</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Licensing agreements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1,756</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Accruals and other</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70,652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38,634</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(70,492)</w:t>
            </w: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(38,425)</w:t>
            </w:r>
          </w:p>
        </w:tc>
      </w:tr>
      <w:tr>
        <w:trPr>
          <w:trHeight w:val="263"/>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80" w:type="dxa"/>
            <w:vAlign w:val="bottom"/>
            <w:tcBorders>
              <w:bottom w:val="single" w:sz="8" w:color="CFF0FC"/>
            </w:tcBorders>
          </w:tcPr>
          <w:p>
            <w:pPr>
              <w:spacing w:after="0"/>
              <w:rPr>
                <w:sz w:val="22"/>
                <w:szCs w:val="22"/>
                <w:color w:val="auto"/>
              </w:rPr>
            </w:pPr>
          </w:p>
        </w:tc>
      </w:tr>
      <w:tr>
        <w:trPr>
          <w:trHeight w:val="21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r>
      <w:tr>
        <w:trPr>
          <w:trHeight w:val="223"/>
        </w:trPr>
        <w:tc>
          <w:tcPr>
            <w:tcW w:w="53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As of December 31, 2020 and 2019,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2020 and 2019. The valuation allowance increased $32,066 and $19,968 during the years ended December 31, 2020 and 2019, respectively, due primarily to net operating losses generated.</w:t>
      </w:r>
    </w:p>
    <w:p>
      <w:pPr>
        <w:spacing w:after="0" w:line="188" w:lineRule="exact"/>
        <w:rPr>
          <w:sz w:val="20"/>
          <w:szCs w:val="20"/>
          <w:color w:val="auto"/>
        </w:rPr>
      </w:pPr>
    </w:p>
    <w:p>
      <w:pPr>
        <w:ind w:right="180" w:firstLine="546"/>
        <w:spacing w:after="0" w:line="265" w:lineRule="auto"/>
        <w:rPr>
          <w:sz w:val="20"/>
          <w:szCs w:val="20"/>
          <w:color w:val="auto"/>
        </w:rPr>
      </w:pPr>
      <w:r>
        <w:rPr>
          <w:rFonts w:ascii="Arial" w:cs="Arial" w:eastAsia="Arial" w:hAnsi="Arial"/>
          <w:sz w:val="18"/>
          <w:szCs w:val="18"/>
          <w:color w:val="auto"/>
        </w:rPr>
        <w:t>As of December 31, 2020 and 2019, the Company had U.S. federal net operating loss carryforwards of $213,991 and $121,836, respectively, that may be available to offset future income tax liabilities. The U.S. federal tax operating loss carryforwards of approximately $17,743 will expire at various dates through 2037. Approximately $196,248 of the U.S. federal tax operating losses can be carried forward indefinitely. As of December 31, 2020 and 2019, the Company also had U.S. state net operating loss carryforwards of $201,642 and $115,129, respectively, which may be available to offset future taxable income. These losses expire at various dates through 2040.</w:t>
      </w:r>
    </w:p>
    <w:p>
      <w:pPr>
        <w:spacing w:after="0" w:line="180"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As of December 31, 2020 and 2019, the Company has federal research and development tax credit carryforwards of $3,677 and $1,547, respectively. Included in the $3,677 of federal tax credit carryforwards are $1,351 of orphan drug credits. The Company qualifies for, and has elected to, apply part of its federal research credits against its payroll tax liability in accordance with certain provisions of the Internal Revenue Code. The amount applied towards the Company’s payroll tax liability is capped at $250 per year. The federal research credits generated in excess of the $250 cap are able to be carried forward for 20 years. As of December 31, 2020 and 2019, the Company had state research and development tax credit carryforwards of approximately $894 and $214, respectively, available to reduce future tax liabilities which expire at various dates through 2034. For all years through December 31, 2020, the Company generated research credits but has not conducted a study to document the qualified activities. This study may result in an adjustment to the Company’s research and development credit carryforwards.</w:t>
      </w:r>
    </w:p>
    <w:p>
      <w:pPr>
        <w:spacing w:after="0" w:line="178" w:lineRule="exact"/>
        <w:rPr>
          <w:sz w:val="20"/>
          <w:szCs w:val="20"/>
          <w:color w:val="auto"/>
        </w:rPr>
      </w:pPr>
    </w:p>
    <w:p>
      <w:pPr>
        <w:ind w:right="80" w:firstLine="546"/>
        <w:spacing w:after="0" w:line="273" w:lineRule="auto"/>
        <w:rPr>
          <w:sz w:val="20"/>
          <w:szCs w:val="20"/>
          <w:color w:val="auto"/>
        </w:rPr>
      </w:pPr>
      <w:r>
        <w:rPr>
          <w:rFonts w:ascii="Arial" w:cs="Arial" w:eastAsia="Arial" w:hAnsi="Arial"/>
          <w:sz w:val="17"/>
          <w:szCs w:val="17"/>
          <w:color w:val="auto"/>
        </w:rPr>
        <w:t>As the Company carries out extensive research and development activities, it seeks to benefit from the Australian research and development tax credit cash rebate regime. Under this regime, the Company’s Australian subsidiary may be eligible to surrender the trading losses that arise from its research and development activities for a payable tax credit of up to approximately 43.5% of eligible research and development expenditures. Qualifying expenditures largely comprise employment costs for research staff, consumables, certain internal overhead costs and subcontracted expenditures as part of research projects for which the Company does not receive income. For the year ended December 31, 2020, the Company recorded $589 in research and development tax credits as an offset to research and development expenses.</w:t>
      </w:r>
    </w:p>
    <w:p>
      <w:pPr>
        <w:spacing w:after="0" w:line="178" w:lineRule="exact"/>
        <w:rPr>
          <w:sz w:val="20"/>
          <w:szCs w:val="20"/>
          <w:color w:val="auto"/>
        </w:rPr>
      </w:pPr>
    </w:p>
    <w:p>
      <w:pPr>
        <w:ind w:right="380" w:firstLine="546"/>
        <w:spacing w:after="0" w:line="259" w:lineRule="auto"/>
        <w:rPr>
          <w:sz w:val="20"/>
          <w:szCs w:val="20"/>
          <w:color w:val="auto"/>
        </w:rPr>
      </w:pPr>
      <w:r>
        <w:rPr>
          <w:rFonts w:ascii="Arial" w:cs="Arial" w:eastAsia="Arial" w:hAnsi="Arial"/>
          <w:sz w:val="18"/>
          <w:szCs w:val="18"/>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percentage points, as defined under Sections 382</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34" w:name="page135"/>
    <w:bookmarkEnd w:id="134"/>
    <w:p>
      <w:pPr>
        <w:ind w:right="240"/>
        <w:spacing w:after="0" w:line="257" w:lineRule="auto"/>
        <w:rPr>
          <w:sz w:val="20"/>
          <w:szCs w:val="20"/>
          <w:color w:val="auto"/>
        </w:rPr>
      </w:pPr>
      <w:r>
        <w:rPr>
          <w:rFonts w:ascii="Arial" w:cs="Arial" w:eastAsia="Arial" w:hAnsi="Arial"/>
          <w:sz w:val="18"/>
          <w:szCs w:val="18"/>
          <w:color w:val="auto"/>
        </w:rPr>
        <w:t>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w:t>
      </w:r>
    </w:p>
    <w:p>
      <w:pPr>
        <w:spacing w:after="0" w:line="188" w:lineRule="exact"/>
        <w:rPr>
          <w:sz w:val="20"/>
          <w:szCs w:val="20"/>
          <w:color w:val="auto"/>
        </w:rPr>
      </w:pPr>
    </w:p>
    <w:p>
      <w:pPr>
        <w:ind w:right="20" w:firstLine="546"/>
        <w:spacing w:after="0" w:line="269" w:lineRule="auto"/>
        <w:rPr>
          <w:sz w:val="20"/>
          <w:szCs w:val="20"/>
          <w:color w:val="auto"/>
        </w:rPr>
      </w:pPr>
      <w:r>
        <w:rPr>
          <w:rFonts w:ascii="Arial" w:cs="Arial" w:eastAsia="Arial" w:hAnsi="Arial"/>
          <w:sz w:val="18"/>
          <w:szCs w:val="18"/>
          <w:color w:val="auto"/>
        </w:rPr>
        <w:t>The Company files income tax returns in the United States, Australia and Canada, and in several states. The foreign, federal and state income tax returns are generally subject to tax examinations for the tax years ended December 31, 2016 through December 31, 2019. To the extent the Company has tax attribute carryforwards, the tax years in which the attribute was generated may still be adjusted upon examination by foreign tax authorities, the Internal Revenue Service, or state tax authorities to the extent utilized in a future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121"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For purposes of the diluted net loss per share calculation, stock options, unvested restricted stock awards and unvested restricted stock units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87"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w:t>
      </w:r>
    </w:p>
    <w:p>
      <w:pPr>
        <w:spacing w:after="0" w:line="28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440" w:type="dxa"/>
            <w:vAlign w:val="bottom"/>
            <w:gridSpan w:val="4"/>
          </w:tcPr>
          <w:p>
            <w:pPr>
              <w:ind w:left="3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4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5,559,545</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3,414,445</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Restricted stock awards and units</w:t>
            </w:r>
          </w:p>
        </w:tc>
        <w:tc>
          <w:tcPr>
            <w:tcW w:w="1080" w:type="dxa"/>
            <w:vAlign w:val="bottom"/>
          </w:tcPr>
          <w:p>
            <w:pPr>
              <w:jc w:val="right"/>
              <w:spacing w:after="0"/>
              <w:rPr>
                <w:sz w:val="20"/>
                <w:szCs w:val="20"/>
                <w:color w:val="auto"/>
              </w:rPr>
            </w:pPr>
            <w:r>
              <w:rPr>
                <w:rFonts w:ascii="Arial" w:cs="Arial" w:eastAsia="Arial" w:hAnsi="Arial"/>
                <w:sz w:val="18"/>
                <w:szCs w:val="18"/>
                <w:color w:val="auto"/>
              </w:rPr>
              <w:t>1,198</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32,552</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firstLine="546"/>
        <w:spacing w:after="0" w:line="284" w:lineRule="auto"/>
        <w:rPr>
          <w:sz w:val="20"/>
          <w:szCs w:val="20"/>
          <w:color w:val="auto"/>
        </w:rPr>
      </w:pPr>
      <w:r>
        <w:rPr>
          <w:rFonts w:ascii="Arial" w:cs="Arial" w:eastAsia="Arial" w:hAnsi="Arial"/>
          <w:sz w:val="17"/>
          <w:szCs w:val="17"/>
          <w:color w:val="auto"/>
        </w:rPr>
        <w:t xml:space="preserve">In connection with the Company’s entry into a license agreement with UHN on January 27, 2016, the Company issued UHN 1,161,665 shares of its common stock. Upon the closing of the IPO in 2018, as UHN’s fully-diluted percentage ownership of the Company was reduced within a range of specified percentages, the Company was obligated to pay UHN an amount of $2,000, which was paid in July 2018. For the years ended December 31, 2020 and 2019, the Company recognized $381 and $821, respectively, of research and development expense related to the license agreements with UHN. Refer to Note 3 </w:t>
      </w:r>
      <w:r>
        <w:rPr>
          <w:rFonts w:ascii="Arial" w:cs="Arial" w:eastAsia="Arial" w:hAnsi="Arial"/>
          <w:sz w:val="17"/>
          <w:szCs w:val="17"/>
          <w:i w:val="1"/>
          <w:iCs w:val="1"/>
          <w:color w:val="auto"/>
        </w:rPr>
        <w:t>“License Agreements”</w:t>
      </w:r>
      <w:r>
        <w:rPr>
          <w:rFonts w:ascii="Arial" w:cs="Arial" w:eastAsia="Arial" w:hAnsi="Arial"/>
          <w:sz w:val="17"/>
          <w:szCs w:val="17"/>
          <w:color w:val="auto"/>
        </w:rPr>
        <w:t xml:space="preserve"> for additional information regarding the UHN license agreements.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For the years ended December 31, 2020 and 2019, the Company recorded expenses of $1,488 and $1,451, respectively, related to a sublease to rent lab space, provided by an entity affiliated with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20" w:type="dxa"/>
            <w:vAlign w:val="bottom"/>
            <w:gridSpan w:val="28"/>
            <w:vMerge w:val="restart"/>
          </w:tcPr>
          <w:p>
            <w:pPr>
              <w:ind w:left="48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20" w:type="dxa"/>
            <w:vAlign w:val="bottom"/>
            <w:tcBorders>
              <w:bottom w:val="single" w:sz="8" w:color="auto"/>
            </w:tcBorders>
            <w:gridSpan w:val="2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ind w:right="232"/>
              <w:spacing w:after="0" w:line="169" w:lineRule="exact"/>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gridSpan w:val="34"/>
          </w:tcPr>
          <w:p>
            <w:pPr>
              <w:spacing w:after="0" w:line="169" w:lineRule="exact"/>
              <w:rPr>
                <w:rFonts w:ascii="Arial" w:cs="Arial" w:eastAsia="Arial" w:hAnsi="Arial"/>
                <w:sz w:val="18"/>
                <w:szCs w:val="18"/>
                <w:color w:val="0000EE"/>
                <w:w w:val="93"/>
              </w:rPr>
            </w:pPr>
            <w:hyperlink r:id="rId160">
              <w:r>
                <w:rPr>
                  <w:rFonts w:ascii="Arial" w:cs="Arial" w:eastAsia="Arial" w:hAnsi="Arial"/>
                  <w:sz w:val="18"/>
                  <w:szCs w:val="18"/>
                  <w:color w:val="0000EE"/>
                  <w:w w:val="93"/>
                </w:rPr>
                <w:t>Fourth Amended and Restated Certificate of Incorporation of the Registrant (filed as Exhibit 3.1 to the Registrant’s Current Report 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Form 8-K filed on June 25, 2018 (File No. 001-38537) and incorporated herein by reference)</w:t>
              </w:r>
            </w:hyperlink>
          </w:p>
        </w:tc>
        <w:tc>
          <w:tcPr>
            <w:tcW w:w="2940" w:type="dxa"/>
            <w:vAlign w:val="bottom"/>
            <w:tcBorders>
              <w:top w:val="single" w:sz="8" w:color="0000EE"/>
            </w:tcBorders>
            <w:gridSpan w:val="14"/>
          </w:tcPr>
          <w:p>
            <w:pPr>
              <w:spacing w:after="0"/>
              <w:rPr>
                <w:sz w:val="17"/>
                <w:szCs w:val="17"/>
                <w:color w:val="auto"/>
              </w:rPr>
            </w:pPr>
          </w:p>
        </w:tc>
        <w:tc>
          <w:tcPr>
            <w:tcW w:w="2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95"/>
              </w:rPr>
              <w:t>3.2</w:t>
            </w:r>
          </w:p>
        </w:tc>
        <w:tc>
          <w:tcPr>
            <w:tcW w:w="400" w:type="dxa"/>
            <w:vAlign w:val="bottom"/>
          </w:tcPr>
          <w:p>
            <w:pPr>
              <w:spacing w:after="0"/>
              <w:rPr>
                <w:sz w:val="24"/>
                <w:szCs w:val="24"/>
                <w:color w:val="auto"/>
              </w:rPr>
            </w:pPr>
          </w:p>
        </w:tc>
        <w:tc>
          <w:tcPr>
            <w:tcW w:w="9680" w:type="dxa"/>
            <w:vAlign w:val="bottom"/>
            <w:tcBorders>
              <w:bottom w:val="single" w:sz="8" w:color="0000EE"/>
            </w:tcBorders>
            <w:gridSpan w:val="25"/>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Certificate of Change of Registered Agent and/or Registered Office of the Registrant (filed as Exhibit 3.2 to the Registrant’s Quarterly</w:t>
              </w:r>
            </w:hyperlink>
          </w:p>
        </w:tc>
        <w:tc>
          <w:tcPr>
            <w:tcW w:w="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35"/>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Report on Form 10-Q filed on November 5, 2020 (File No. 001-38537)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95"/>
              </w:rPr>
              <w:t>3.3</w:t>
            </w:r>
          </w:p>
        </w:tc>
        <w:tc>
          <w:tcPr>
            <w:tcW w:w="40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EE"/>
                <w:w w:val="97"/>
              </w:rPr>
            </w:pPr>
            <w:hyperlink r:id="rId162">
              <w:r>
                <w:rPr>
                  <w:rFonts w:ascii="Arial" w:cs="Arial" w:eastAsia="Arial" w:hAnsi="Arial"/>
                  <w:sz w:val="18"/>
                  <w:szCs w:val="18"/>
                  <w:color w:val="0000EE"/>
                  <w:w w:val="97"/>
                </w:rPr>
                <w:t>Amended and Restated By-laws (filed as Exhibit 3.2 to the Registrant’s Current Report on Form 8-K filed on June 25, 2018 (File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No. 001-38537) and incorporated herein by reference)</w:t>
              </w:r>
            </w:hyperlink>
          </w:p>
        </w:tc>
        <w:tc>
          <w:tcPr>
            <w:tcW w:w="5380" w:type="dxa"/>
            <w:vAlign w:val="bottom"/>
            <w:tcBorders>
              <w:top w:val="single" w:sz="8" w:color="0000EE"/>
            </w:tcBorders>
            <w:gridSpan w:val="9"/>
          </w:tcPr>
          <w:p>
            <w:pPr>
              <w:spacing w:after="0"/>
              <w:rPr>
                <w:sz w:val="17"/>
                <w:szCs w:val="17"/>
                <w:color w:val="auto"/>
              </w:rPr>
            </w:pPr>
          </w:p>
        </w:tc>
        <w:tc>
          <w:tcPr>
            <w:tcW w:w="6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95"/>
              </w:rPr>
              <w:t>4.1</w:t>
            </w:r>
          </w:p>
        </w:tc>
        <w:tc>
          <w:tcPr>
            <w:tcW w:w="400" w:type="dxa"/>
            <w:vAlign w:val="bottom"/>
          </w:tcPr>
          <w:p>
            <w:pPr>
              <w:spacing w:after="0"/>
              <w:rPr>
                <w:sz w:val="24"/>
                <w:szCs w:val="24"/>
                <w:color w:val="auto"/>
              </w:rPr>
            </w:pPr>
          </w:p>
        </w:tc>
        <w:tc>
          <w:tcPr>
            <w:tcW w:w="9800" w:type="dxa"/>
            <w:vAlign w:val="bottom"/>
            <w:tcBorders>
              <w:bottom w:val="single" w:sz="8" w:color="0000EE"/>
            </w:tcBorders>
            <w:gridSpan w:val="30"/>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Form of Specimen Common Stock Certificate (filed as Exhibit 4.1 to the Registrant’s Second Amendment to the Registration Statement</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9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on Form S-1 filed on June 11, 2018 (File No. 333-225213) and incorporated herein by reference)</w:t>
              </w:r>
            </w:hyperlink>
          </w:p>
        </w:tc>
        <w:tc>
          <w:tcPr>
            <w:tcW w:w="29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95"/>
              </w:rPr>
              <w:t>4.2</w:t>
            </w:r>
          </w:p>
        </w:tc>
        <w:tc>
          <w:tcPr>
            <w:tcW w:w="40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Second Amended and Restated Investors’ Rights Agreement among the Registrant and certain of its stockholders, dated January 9, 2018</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(filed as Exhibit 4.2 to the Registrant’s Registration Statement on Form S-1 filed on May 25, 2018 (File No. 333-225213) and</w:t>
              </w:r>
            </w:hyperlink>
          </w:p>
        </w:tc>
        <w:tc>
          <w:tcPr>
            <w:tcW w:w="720" w:type="dxa"/>
            <w:vAlign w:val="bottom"/>
            <w:tcBorders>
              <w:top w:val="single" w:sz="8" w:color="0000EE"/>
            </w:tcBorders>
            <w:gridSpan w:val="18"/>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35"/>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95"/>
              </w:rPr>
              <w:t>4.3</w:t>
            </w:r>
          </w:p>
        </w:tc>
        <w:tc>
          <w:tcPr>
            <w:tcW w:w="400" w:type="dxa"/>
            <w:vAlign w:val="bottom"/>
          </w:tcPr>
          <w:p>
            <w:pPr>
              <w:spacing w:after="0"/>
              <w:rPr>
                <w:sz w:val="24"/>
                <w:szCs w:val="24"/>
                <w:color w:val="auto"/>
              </w:rPr>
            </w:pPr>
          </w:p>
        </w:tc>
        <w:tc>
          <w:tcPr>
            <w:tcW w:w="9740" w:type="dxa"/>
            <w:vAlign w:val="bottom"/>
            <w:tcBorders>
              <w:bottom w:val="single" w:sz="8" w:color="0000EE"/>
            </w:tcBorders>
            <w:gridSpan w:val="27"/>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Description of Securities Registered Pursuant to Section 12 of the Securities Exchange Act of 1934, as amended (filed as Exhibit 4.3 to</w:t>
              </w:r>
            </w:hyperlink>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gridSpan w:val="35"/>
          </w:tcPr>
          <w:p>
            <w:pPr>
              <w:spacing w:after="0"/>
              <w:rPr>
                <w:rFonts w:ascii="Arial" w:cs="Arial" w:eastAsia="Arial" w:hAnsi="Arial"/>
                <w:sz w:val="18"/>
                <w:szCs w:val="18"/>
                <w:u w:val="single" w:color="auto"/>
                <w:color w:val="0000EE"/>
                <w:w w:val="91"/>
              </w:rPr>
            </w:pPr>
            <w:hyperlink r:id="rId165">
              <w:r>
                <w:rPr>
                  <w:rFonts w:ascii="Arial" w:cs="Arial" w:eastAsia="Arial" w:hAnsi="Arial"/>
                  <w:sz w:val="18"/>
                  <w:szCs w:val="18"/>
                  <w:u w:val="single" w:color="auto"/>
                  <w:color w:val="0000EE"/>
                  <w:w w:val="91"/>
                </w:rPr>
                <w:t>the to the Registrant’s Annual Report on Form 10-K filed on March 16, 2020 (File No. 001-38537) and incorporated herein by reference)</w:t>
              </w:r>
            </w:hyperlink>
          </w:p>
        </w:tc>
        <w:tc>
          <w:tcPr>
            <w:tcW w:w="0" w:type="dxa"/>
            <w:vAlign w:val="bottom"/>
          </w:tcPr>
          <w:p>
            <w:pPr>
              <w:spacing w:after="0"/>
              <w:rPr>
                <w:sz w:val="1"/>
                <w:szCs w:val="1"/>
                <w:color w:val="auto"/>
              </w:rPr>
            </w:pPr>
          </w:p>
        </w:tc>
      </w:tr>
      <w:tr>
        <w:trPr>
          <w:trHeight w:val="297"/>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88"/>
              </w:rPr>
              <w:t>10.1#</w:t>
            </w:r>
          </w:p>
        </w:tc>
        <w:tc>
          <w:tcPr>
            <w:tcW w:w="400" w:type="dxa"/>
            <w:vAlign w:val="bottom"/>
          </w:tcPr>
          <w:p>
            <w:pPr>
              <w:spacing w:after="0"/>
              <w:rPr>
                <w:sz w:val="24"/>
                <w:szCs w:val="24"/>
                <w:color w:val="auto"/>
              </w:rPr>
            </w:pPr>
          </w:p>
        </w:tc>
        <w:tc>
          <w:tcPr>
            <w:tcW w:w="9880" w:type="dxa"/>
            <w:vAlign w:val="bottom"/>
            <w:tcBorders>
              <w:bottom w:val="single" w:sz="8" w:color="0000EE"/>
            </w:tcBorders>
            <w:gridSpan w:val="34"/>
          </w:tcPr>
          <w:p>
            <w:pPr>
              <w:spacing w:after="0"/>
              <w:rPr>
                <w:rFonts w:ascii="Arial" w:cs="Arial" w:eastAsia="Arial" w:hAnsi="Arial"/>
                <w:sz w:val="18"/>
                <w:szCs w:val="18"/>
                <w:color w:val="0000EE"/>
                <w:w w:val="89"/>
              </w:rPr>
            </w:pPr>
            <w:hyperlink r:id="rId166">
              <w:r>
                <w:rPr>
                  <w:rFonts w:ascii="Arial" w:cs="Arial" w:eastAsia="Arial" w:hAnsi="Arial"/>
                  <w:sz w:val="18"/>
                  <w:szCs w:val="18"/>
                  <w:color w:val="0000EE"/>
                  <w:w w:val="89"/>
                </w:rPr>
                <w:t>2015 Amended and Restated Stock Option and Grant Plan, as amended, and forms of award agreements thereunder (filed as Exhibit 10.1</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35"/>
          </w:tcPr>
          <w:p>
            <w:pPr>
              <w:spacing w:after="0" w:line="196" w:lineRule="exact"/>
              <w:rPr>
                <w:rFonts w:ascii="Arial" w:cs="Arial" w:eastAsia="Arial" w:hAnsi="Arial"/>
                <w:sz w:val="18"/>
                <w:szCs w:val="18"/>
                <w:color w:val="0000EE"/>
                <w:w w:val="97"/>
              </w:rPr>
            </w:pPr>
            <w:hyperlink r:id="rId166">
              <w:r>
                <w:rPr>
                  <w:rFonts w:ascii="Arial" w:cs="Arial" w:eastAsia="Arial" w:hAnsi="Arial"/>
                  <w:sz w:val="18"/>
                  <w:szCs w:val="18"/>
                  <w:color w:val="0000EE"/>
                  <w:w w:val="97"/>
                </w:rPr>
                <w:t>to the Registrant’s Registration Statement on Form S-1 filed on May 25, 2018 (File No. 333-225213) and incorporated herein by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166">
              <w:r>
                <w:rPr>
                  <w:rFonts w:ascii="Arial" w:cs="Arial" w:eastAsia="Arial" w:hAnsi="Arial"/>
                  <w:sz w:val="18"/>
                  <w:szCs w:val="18"/>
                  <w:color w:val="0000EE"/>
                  <w:w w:val="87"/>
                </w:rPr>
                <w:t>reference)</w:t>
              </w:r>
            </w:hyperlink>
          </w:p>
        </w:tc>
        <w:tc>
          <w:tcPr>
            <w:tcW w:w="8500" w:type="dxa"/>
            <w:vAlign w:val="bottom"/>
            <w:tcBorders>
              <w:top w:val="single" w:sz="8" w:color="0000EE"/>
            </w:tcBorders>
            <w:gridSpan w:val="12"/>
          </w:tcPr>
          <w:p>
            <w:pPr>
              <w:spacing w:after="0"/>
              <w:rPr>
                <w:sz w:val="17"/>
                <w:szCs w:val="17"/>
                <w:color w:val="auto"/>
              </w:rPr>
            </w:pPr>
          </w:p>
        </w:tc>
        <w:tc>
          <w:tcPr>
            <w:tcW w:w="6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88"/>
              </w:rPr>
              <w:t>10.2#</w:t>
            </w:r>
          </w:p>
        </w:tc>
        <w:tc>
          <w:tcPr>
            <w:tcW w:w="40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EE"/>
                <w:w w:val="95"/>
              </w:rPr>
            </w:pPr>
            <w:hyperlink r:id="rId167">
              <w:r>
                <w:rPr>
                  <w:rFonts w:ascii="Arial" w:cs="Arial" w:eastAsia="Arial" w:hAnsi="Arial"/>
                  <w:sz w:val="18"/>
                  <w:szCs w:val="18"/>
                  <w:color w:val="0000EE"/>
                  <w:w w:val="95"/>
                </w:rPr>
                <w:t>2018 Stock Option and Incentive Plan and forms of award agreements thereunder (filed as Exhibit 10.2 to the Registrant’s Second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Amendment to the Registration Statement on Form S-1 filed on June 11, 2018 (File No. 333-225213) and incorporated herein by</w:t>
              </w:r>
            </w:hyperlink>
          </w:p>
        </w:tc>
        <w:tc>
          <w:tcPr>
            <w:tcW w:w="40" w:type="dxa"/>
            <w:vAlign w:val="bottom"/>
            <w:tcBorders>
              <w:top w:val="single" w:sz="8" w:color="0000EE"/>
            </w:tcBorders>
          </w:tcPr>
          <w:p>
            <w:pPr>
              <w:spacing w:after="0"/>
              <w:rPr>
                <w:sz w:val="17"/>
                <w:szCs w:val="17"/>
                <w:color w:val="auto"/>
              </w:rPr>
            </w:pPr>
          </w:p>
        </w:tc>
        <w:tc>
          <w:tcPr>
            <w:tcW w:w="5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67">
              <w:r>
                <w:rPr>
                  <w:rFonts w:ascii="Arial" w:cs="Arial" w:eastAsia="Arial" w:hAnsi="Arial"/>
                  <w:sz w:val="18"/>
                  <w:szCs w:val="18"/>
                  <w:color w:val="0000EE"/>
                  <w:w w:val="87"/>
                </w:rPr>
                <w:t>reference)</w:t>
              </w:r>
            </w:hyperlink>
          </w:p>
        </w:tc>
        <w:tc>
          <w:tcPr>
            <w:tcW w:w="91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88"/>
              </w:rPr>
              <w:t>10.3#</w:t>
            </w:r>
          </w:p>
        </w:tc>
        <w:tc>
          <w:tcPr>
            <w:tcW w:w="400" w:type="dxa"/>
            <w:vAlign w:val="bottom"/>
          </w:tcPr>
          <w:p>
            <w:pPr>
              <w:spacing w:after="0"/>
              <w:rPr>
                <w:sz w:val="24"/>
                <w:szCs w:val="24"/>
                <w:color w:val="auto"/>
              </w:rPr>
            </w:pPr>
          </w:p>
        </w:tc>
        <w:tc>
          <w:tcPr>
            <w:tcW w:w="9760" w:type="dxa"/>
            <w:vAlign w:val="bottom"/>
            <w:tcBorders>
              <w:bottom w:val="single" w:sz="8" w:color="0000EE"/>
            </w:tcBorders>
            <w:gridSpan w:val="28"/>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First Amendment to the AVROBIO, Inc. 2018 Stock Option and Incentive Plan (filed as Exhibit 10.1 to the Registrant’s Current Report</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9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on Form 8-K filed on June 9, 2020 (File No. 333-225213) and incorporated herein by reference)</w:t>
              </w:r>
            </w:hyperlink>
          </w:p>
        </w:tc>
        <w:tc>
          <w:tcPr>
            <w:tcW w:w="30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88"/>
              </w:rPr>
              <w:t>10.4#</w:t>
            </w:r>
          </w:p>
        </w:tc>
        <w:tc>
          <w:tcPr>
            <w:tcW w:w="40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Senior Executive Cash Incentive Bonus Plan (filed as Exhibit 10.3 to the Registrant’s Second Amendment to the Registration Statement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on Form S-1 filed on June 11, 2018 (File No. 333-225213) and incorporated herein by reference)</w:t>
              </w:r>
            </w:hyperlink>
          </w:p>
        </w:tc>
        <w:tc>
          <w:tcPr>
            <w:tcW w:w="2800" w:type="dxa"/>
            <w:vAlign w:val="bottom"/>
            <w:tcBorders>
              <w:top w:val="single" w:sz="8" w:color="0000EE"/>
            </w:tcBorders>
            <w:gridSpan w:val="18"/>
          </w:tcPr>
          <w:p>
            <w:pPr>
              <w:spacing w:after="0"/>
              <w:rPr>
                <w:sz w:val="17"/>
                <w:szCs w:val="17"/>
                <w:color w:val="auto"/>
              </w:rPr>
            </w:pPr>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88"/>
              </w:rPr>
              <w:t>10.5#</w:t>
            </w:r>
          </w:p>
        </w:tc>
        <w:tc>
          <w:tcPr>
            <w:tcW w:w="40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Form of Indemnification Agreement (filed as Exhibit 10.4 to the Registrant’s Second Amendment to the Registration Statement on Form</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S-1 filed on June 11, 2018 (File No. 333-225213) and incorporated herein by reference)</w:t>
              </w:r>
            </w:hyperlink>
          </w:p>
        </w:tc>
        <w:tc>
          <w:tcPr>
            <w:tcW w:w="3520" w:type="dxa"/>
            <w:vAlign w:val="bottom"/>
            <w:tcBorders>
              <w:top w:val="single" w:sz="8" w:color="0000EE"/>
            </w:tcBorders>
            <w:gridSpan w:val="24"/>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88"/>
              </w:rPr>
              <w:t>10.6†</w:t>
            </w:r>
          </w:p>
        </w:tc>
        <w:tc>
          <w:tcPr>
            <w:tcW w:w="40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Exclusive License Agreement, by and between the Registrant and University Health Network, dated November 4, 2016, as amended</w:t>
              </w:r>
            </w:hyperlink>
          </w:p>
        </w:tc>
        <w:tc>
          <w:tcPr>
            <w:tcW w:w="3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(filed as Exhibit 10.5 to the Registrant’s First Amendment to the Registration Statement on Form S-1 filed on June 1, 2018 (File No.</w:t>
              </w:r>
            </w:hyperlink>
          </w:p>
        </w:tc>
        <w:tc>
          <w:tcPr>
            <w:tcW w:w="3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71">
              <w:r>
                <w:rPr>
                  <w:rFonts w:ascii="Arial" w:cs="Arial" w:eastAsia="Arial" w:hAnsi="Arial"/>
                  <w:sz w:val="18"/>
                  <w:szCs w:val="18"/>
                  <w:color w:val="0000EE"/>
                  <w:w w:val="89"/>
                </w:rPr>
                <w:t>333-225213) and incorporated herein by reference)</w:t>
              </w:r>
            </w:hyperlink>
          </w:p>
        </w:tc>
        <w:tc>
          <w:tcPr>
            <w:tcW w:w="624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88"/>
              </w:rPr>
              <w:t>10.7†</w:t>
            </w:r>
          </w:p>
        </w:tc>
        <w:tc>
          <w:tcPr>
            <w:tcW w:w="400" w:type="dxa"/>
            <w:vAlign w:val="bottom"/>
          </w:tcPr>
          <w:p>
            <w:pPr>
              <w:spacing w:after="0"/>
              <w:rPr>
                <w:sz w:val="24"/>
                <w:szCs w:val="24"/>
                <w:color w:val="auto"/>
              </w:rPr>
            </w:pPr>
          </w:p>
        </w:tc>
        <w:tc>
          <w:tcPr>
            <w:tcW w:w="9680" w:type="dxa"/>
            <w:vAlign w:val="bottom"/>
            <w:tcBorders>
              <w:bottom w:val="single" w:sz="8" w:color="0000EE"/>
            </w:tcBorders>
            <w:gridSpan w:val="25"/>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License Agreement, by and between the Registrant and BioMarin Pharmaceutical Inc., dated August 31, 2017 (filed as Exhibit 10.6 to</w:t>
              </w:r>
            </w:hyperlink>
          </w:p>
        </w:tc>
        <w:tc>
          <w:tcPr>
            <w:tcW w:w="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35"/>
          </w:tcPr>
          <w:p>
            <w:pPr>
              <w:spacing w:after="0" w:line="196" w:lineRule="exact"/>
              <w:rPr>
                <w:rFonts w:ascii="Arial" w:cs="Arial" w:eastAsia="Arial" w:hAnsi="Arial"/>
                <w:sz w:val="18"/>
                <w:szCs w:val="18"/>
                <w:color w:val="0000EE"/>
                <w:w w:val="95"/>
              </w:rPr>
            </w:pPr>
            <w:hyperlink r:id="rId172">
              <w:r>
                <w:rPr>
                  <w:rFonts w:ascii="Arial" w:cs="Arial" w:eastAsia="Arial" w:hAnsi="Arial"/>
                  <w:sz w:val="18"/>
                  <w:szCs w:val="18"/>
                  <w:color w:val="0000EE"/>
                  <w:w w:val="95"/>
                </w:rPr>
                <w:t>the Registrant’s Second Amendment to the Registration Statement on Form S-1 filed on June 11, 2018 (File No. 333-225213) and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incorporated herein by reference)</w:t>
              </w:r>
            </w:hyperlink>
          </w:p>
        </w:tc>
        <w:tc>
          <w:tcPr>
            <w:tcW w:w="5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EE"/>
                <w:w w:val="93"/>
              </w:rPr>
            </w:pPr>
            <w:hyperlink r:id="rId173">
              <w:r>
                <w:rPr>
                  <w:rFonts w:ascii="Arial" w:cs="Arial" w:eastAsia="Arial" w:hAnsi="Arial"/>
                  <w:sz w:val="18"/>
                  <w:szCs w:val="18"/>
                  <w:color w:val="0000EE"/>
                  <w:w w:val="93"/>
                </w:rPr>
                <w:t>Amendment No. 1 to License Agreement, by and between the Registrant and BioMarin Pharmaceutical Inc., dated February 21, 2018</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73">
              <w:r>
                <w:rPr>
                  <w:rFonts w:ascii="Arial" w:cs="Arial" w:eastAsia="Arial" w:hAnsi="Arial"/>
                  <w:sz w:val="18"/>
                  <w:szCs w:val="18"/>
                  <w:color w:val="0000EE"/>
                  <w:w w:val="92"/>
                </w:rPr>
                <w:t>(filed as Exhibit 10.7 to the to the Registrant’s Annual Report on Form 10-K filed on March 16, 2020 (File No. 001-38537) and</w:t>
              </w:r>
            </w:hyperlink>
          </w:p>
        </w:tc>
        <w:tc>
          <w:tcPr>
            <w:tcW w:w="420" w:type="dxa"/>
            <w:vAlign w:val="bottom"/>
            <w:tcBorders>
              <w:top w:val="single" w:sz="8" w:color="0000EE"/>
            </w:tcBorders>
            <w:gridSpan w:val="8"/>
          </w:tcPr>
          <w:p>
            <w:pPr>
              <w:spacing w:after="0"/>
              <w:rPr>
                <w:sz w:val="17"/>
                <w:szCs w:val="17"/>
                <w:color w:val="auto"/>
              </w:rPr>
            </w:pPr>
          </w:p>
        </w:tc>
        <w:tc>
          <w:tcPr>
            <w:tcW w:w="3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35"/>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26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Amendment No. 2 to License Agreement, by and between the Registrant and BioMarin Pharmaceutical Inc., dated January 7, 2020 (filed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0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as Exhibit 10.8 to the to the Registrant’s Annual Report on Form 10-K filed on March 16, 2020 (File No. 001-38537) and incorporated</w:t>
              </w:r>
            </w:hyperlink>
          </w:p>
        </w:tc>
        <w:tc>
          <w:tcPr>
            <w:tcW w:w="160" w:type="dxa"/>
            <w:vAlign w:val="bottom"/>
            <w:tcBorders>
              <w:top w:val="single" w:sz="8" w:color="0000EE"/>
            </w:tcBorders>
            <w:gridSpan w:val="7"/>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35"/>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2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10.10†</w:t>
            </w:r>
          </w:p>
        </w:tc>
        <w:tc>
          <w:tcPr>
            <w:tcW w:w="40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EE"/>
                <w:w w:val="92"/>
              </w:rPr>
            </w:pPr>
            <w:hyperlink r:id="rId175">
              <w:r>
                <w:rPr>
                  <w:rFonts w:ascii="Arial" w:cs="Arial" w:eastAsia="Arial" w:hAnsi="Arial"/>
                  <w:sz w:val="18"/>
                  <w:szCs w:val="18"/>
                  <w:color w:val="0000EE"/>
                  <w:w w:val="92"/>
                </w:rPr>
                <w:t>Exclusive License Agreement, by and among the Registrant, Stefan Karlsson and Maria Dahl, dated January 30, 2017 (filed as Exhibit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w:t>
              </w:r>
              <w:r>
                <w:rPr>
                  <w:rFonts w:ascii="Arial" w:cs="Arial" w:eastAsia="Arial" w:hAnsi="Arial"/>
                  <w:sz w:val="18"/>
                  <w:szCs w:val="18"/>
                  <w:color w:val="0000EE"/>
                  <w:w w:val="91"/>
                </w:rPr>
                <w:t xml:space="preserve"> to the Registrant’s Registration Statement on Form S-1 filed on May 25, 2018 (File No. 333-225213) and incorporated herein by</w:t>
              </w:r>
            </w:hyperlink>
          </w:p>
        </w:tc>
        <w:tc>
          <w:tcPr>
            <w:tcW w:w="20" w:type="dxa"/>
            <w:vAlign w:val="bottom"/>
            <w:tcBorders>
              <w:top w:val="single" w:sz="8" w:color="0000EE"/>
            </w:tcBorders>
          </w:tcPr>
          <w:p>
            <w:pPr>
              <w:spacing w:after="0"/>
              <w:rPr>
                <w:sz w:val="17"/>
                <w:szCs w:val="17"/>
                <w:color w:val="auto"/>
              </w:rPr>
            </w:pPr>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35"/>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5600" w:type="dxa"/>
            <w:vAlign w:val="bottom"/>
            <w:gridSpan w:val="6"/>
          </w:tcPr>
          <w:p>
            <w:pPr>
              <w:jc w:val="right"/>
              <w:ind w:right="1808"/>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61"/>
        </w:trPr>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00" w:type="dxa"/>
            <w:vAlign w:val="bottom"/>
            <w:gridSpan w:val="19"/>
            <w:vMerge w:val="restart"/>
          </w:tcPr>
          <w:p>
            <w:pPr>
              <w:ind w:left="96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500" w:type="dxa"/>
            <w:vAlign w:val="bottom"/>
            <w:tcBorders>
              <w:bottom w:val="single" w:sz="8" w:color="auto"/>
            </w:tcBorders>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100"/>
              <w:spacing w:after="0" w:line="169" w:lineRule="exact"/>
              <w:rPr>
                <w:sz w:val="20"/>
                <w:szCs w:val="20"/>
                <w:color w:val="auto"/>
              </w:rPr>
            </w:pPr>
            <w:r>
              <w:rPr>
                <w:rFonts w:ascii="Arial" w:cs="Arial" w:eastAsia="Arial" w:hAnsi="Arial"/>
                <w:sz w:val="18"/>
                <w:szCs w:val="18"/>
                <w:color w:val="auto"/>
              </w:rPr>
              <w:t>10.11†</w:t>
            </w:r>
          </w:p>
        </w:tc>
        <w:tc>
          <w:tcPr>
            <w:tcW w:w="4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740" w:type="dxa"/>
            <w:vAlign w:val="bottom"/>
            <w:tcBorders>
              <w:bottom w:val="single" w:sz="8" w:color="0000EE"/>
            </w:tcBorders>
            <w:gridSpan w:val="18"/>
          </w:tcPr>
          <w:p>
            <w:pPr>
              <w:spacing w:after="0" w:line="169" w:lineRule="exact"/>
              <w:rPr>
                <w:rFonts w:ascii="Arial" w:cs="Arial" w:eastAsia="Arial" w:hAnsi="Arial"/>
                <w:sz w:val="18"/>
                <w:szCs w:val="18"/>
                <w:color w:val="0000EE"/>
                <w:w w:val="89"/>
              </w:rPr>
            </w:pPr>
            <w:hyperlink r:id="rId178">
              <w:r>
                <w:rPr>
                  <w:rFonts w:ascii="Arial" w:cs="Arial" w:eastAsia="Arial" w:hAnsi="Arial"/>
                  <w:sz w:val="18"/>
                  <w:szCs w:val="18"/>
                  <w:color w:val="0000EE"/>
                  <w:w w:val="89"/>
                </w:rPr>
                <w:t>License Agreement, by and between the Registrant and GenStem Therapeutics, Inc., dated October 2, 2017 (filed as Exhibit 10.8 to the</w:t>
              </w:r>
            </w:hyperlink>
          </w:p>
        </w:tc>
        <w:tc>
          <w:tcPr>
            <w:tcW w:w="1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gridSpan w:val="24"/>
          </w:tcPr>
          <w:p>
            <w:pPr>
              <w:spacing w:after="0"/>
              <w:rPr>
                <w:rFonts w:ascii="Arial" w:cs="Arial" w:eastAsia="Arial" w:hAnsi="Arial"/>
                <w:sz w:val="18"/>
                <w:szCs w:val="18"/>
                <w:u w:val="single" w:color="auto"/>
                <w:color w:val="0000EE"/>
                <w:w w:val="94"/>
              </w:rPr>
            </w:pPr>
            <w:hyperlink r:id="rId178">
              <w:r>
                <w:rPr>
                  <w:rFonts w:ascii="Arial" w:cs="Arial" w:eastAsia="Arial" w:hAnsi="Arial"/>
                  <w:sz w:val="18"/>
                  <w:szCs w:val="18"/>
                  <w:u w:val="single" w:color="auto"/>
                  <w:color w:val="0000EE"/>
                  <w:w w:val="94"/>
                </w:rPr>
                <w:t>Registrant’s Registration Statement on Form S-1 filed on May 25, 2018 (File No. 333-225213) and incorporated herein by reference)</w:t>
              </w:r>
            </w:hyperlink>
          </w:p>
        </w:tc>
        <w:tc>
          <w:tcPr>
            <w:tcW w:w="0" w:type="dxa"/>
            <w:vAlign w:val="bottom"/>
          </w:tcPr>
          <w:p>
            <w:pPr>
              <w:spacing w:after="0"/>
              <w:rPr>
                <w:sz w:val="1"/>
                <w:szCs w:val="1"/>
                <w:color w:val="auto"/>
              </w:rPr>
            </w:pPr>
          </w:p>
        </w:tc>
      </w:tr>
      <w:tr>
        <w:trPr>
          <w:trHeight w:val="297"/>
        </w:trPr>
        <w:tc>
          <w:tcPr>
            <w:tcW w:w="920" w:type="dxa"/>
            <w:vAlign w:val="bottom"/>
          </w:tcPr>
          <w:p>
            <w:pPr>
              <w:ind w:left="100"/>
              <w:spacing w:after="0"/>
              <w:rPr>
                <w:sz w:val="20"/>
                <w:szCs w:val="20"/>
                <w:color w:val="auto"/>
              </w:rPr>
            </w:pPr>
            <w:r>
              <w:rPr>
                <w:rFonts w:ascii="Arial" w:cs="Arial" w:eastAsia="Arial" w:hAnsi="Arial"/>
                <w:sz w:val="18"/>
                <w:szCs w:val="18"/>
                <w:color w:val="auto"/>
              </w:rPr>
              <w:t>10.12#</w:t>
            </w:r>
          </w:p>
        </w:tc>
        <w:tc>
          <w:tcPr>
            <w:tcW w:w="40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Amended and Restated Employment Agreement, by and between the Registrant and Geoff MacKay, effective as of June 25, 2018 (filed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as Exhibit 10.9 to the Registrant’s Second Amendment to the Registration Statement on Form S-1 filed on June 11, 2018 (File No. 333-</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24"/>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225213)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10.13#</w:t>
            </w:r>
          </w:p>
        </w:tc>
        <w:tc>
          <w:tcPr>
            <w:tcW w:w="400" w:type="dxa"/>
            <w:vAlign w:val="bottom"/>
          </w:tcPr>
          <w:p>
            <w:pPr>
              <w:spacing w:after="0"/>
              <w:rPr>
                <w:sz w:val="24"/>
                <w:szCs w:val="24"/>
                <w:color w:val="auto"/>
              </w:rPr>
            </w:pPr>
          </w:p>
        </w:tc>
        <w:tc>
          <w:tcPr>
            <w:tcW w:w="9440" w:type="dxa"/>
            <w:vAlign w:val="bottom"/>
            <w:tcBorders>
              <w:bottom w:val="single" w:sz="8" w:color="0000EE"/>
            </w:tcBorders>
            <w:gridSpan w:val="12"/>
          </w:tcPr>
          <w:p>
            <w:pPr>
              <w:spacing w:after="0"/>
              <w:rPr>
                <w:rFonts w:ascii="Arial" w:cs="Arial" w:eastAsia="Arial" w:hAnsi="Arial"/>
                <w:sz w:val="18"/>
                <w:szCs w:val="18"/>
                <w:color w:val="0000EE"/>
                <w:w w:val="90"/>
              </w:rPr>
            </w:pPr>
            <w:hyperlink r:id="rId180">
              <w:r>
                <w:rPr>
                  <w:rFonts w:ascii="Arial" w:cs="Arial" w:eastAsia="Arial" w:hAnsi="Arial"/>
                  <w:sz w:val="18"/>
                  <w:szCs w:val="18"/>
                  <w:color w:val="0000EE"/>
                  <w:w w:val="90"/>
                </w:rPr>
                <w:t>Employment Agreement, by and between the Registrant and Erik Ostrowski, dated December 17, 2018 (filed as Exhibit 10.1 to the</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gridSpan w:val="24"/>
          </w:tcPr>
          <w:p>
            <w:pPr>
              <w:spacing w:after="0"/>
              <w:rPr>
                <w:rFonts w:ascii="Arial" w:cs="Arial" w:eastAsia="Arial" w:hAnsi="Arial"/>
                <w:sz w:val="18"/>
                <w:szCs w:val="18"/>
                <w:u w:val="single" w:color="auto"/>
                <w:color w:val="0000EE"/>
                <w:w w:val="96"/>
              </w:rPr>
            </w:pPr>
            <w:hyperlink r:id="rId180">
              <w:r>
                <w:rPr>
                  <w:rFonts w:ascii="Arial" w:cs="Arial" w:eastAsia="Arial" w:hAnsi="Arial"/>
                  <w:sz w:val="18"/>
                  <w:szCs w:val="18"/>
                  <w:u w:val="single" w:color="auto"/>
                  <w:color w:val="0000EE"/>
                  <w:w w:val="96"/>
                </w:rPr>
                <w:t>Registrant’s Current Report on Form 8-K filed on December 21, 2018 (File No. 001-38537) and incorporated herein by reference)</w:t>
              </w:r>
            </w:hyperlink>
          </w:p>
        </w:tc>
        <w:tc>
          <w:tcPr>
            <w:tcW w:w="0" w:type="dxa"/>
            <w:vAlign w:val="bottom"/>
          </w:tcPr>
          <w:p>
            <w:pPr>
              <w:spacing w:after="0"/>
              <w:rPr>
                <w:sz w:val="1"/>
                <w:szCs w:val="1"/>
                <w:color w:val="auto"/>
              </w:rPr>
            </w:pPr>
          </w:p>
        </w:tc>
      </w:tr>
      <w:tr>
        <w:trPr>
          <w:trHeight w:val="297"/>
        </w:trPr>
        <w:tc>
          <w:tcPr>
            <w:tcW w:w="920" w:type="dxa"/>
            <w:vAlign w:val="bottom"/>
          </w:tcPr>
          <w:p>
            <w:pPr>
              <w:ind w:left="100"/>
              <w:spacing w:after="0"/>
              <w:rPr>
                <w:sz w:val="20"/>
                <w:szCs w:val="20"/>
                <w:color w:val="auto"/>
              </w:rPr>
            </w:pPr>
            <w:r>
              <w:rPr>
                <w:rFonts w:ascii="Arial" w:cs="Arial" w:eastAsia="Arial" w:hAnsi="Arial"/>
                <w:sz w:val="18"/>
                <w:szCs w:val="18"/>
                <w:color w:val="auto"/>
              </w:rPr>
              <w:t>10.14#</w:t>
            </w:r>
          </w:p>
        </w:tc>
        <w:tc>
          <w:tcPr>
            <w:tcW w:w="40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rFonts w:ascii="Arial" w:cs="Arial" w:eastAsia="Arial" w:hAnsi="Arial"/>
                <w:sz w:val="18"/>
                <w:szCs w:val="18"/>
                <w:color w:val="0000EE"/>
                <w:w w:val="90"/>
              </w:rPr>
            </w:pPr>
            <w:hyperlink r:id="rId181">
              <w:r>
                <w:rPr>
                  <w:rFonts w:ascii="Arial" w:cs="Arial" w:eastAsia="Arial" w:hAnsi="Arial"/>
                  <w:sz w:val="18"/>
                  <w:szCs w:val="18"/>
                  <w:color w:val="0000EE"/>
                  <w:w w:val="90"/>
                </w:rPr>
                <w:t>Employment Agreement, by and between the Registrant and Steven Avruch, dated December 17, 2018 (filed as Exhibit 10.13 to the</w:t>
              </w:r>
            </w:hyperlink>
          </w:p>
        </w:tc>
        <w:tc>
          <w:tcPr>
            <w:tcW w:w="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gridSpan w:val="24"/>
          </w:tcPr>
          <w:p>
            <w:pPr>
              <w:spacing w:after="0"/>
              <w:rPr>
                <w:rFonts w:ascii="Arial" w:cs="Arial" w:eastAsia="Arial" w:hAnsi="Arial"/>
                <w:sz w:val="18"/>
                <w:szCs w:val="18"/>
                <w:u w:val="single" w:color="auto"/>
                <w:color w:val="0000EE"/>
                <w:w w:val="99"/>
              </w:rPr>
            </w:pPr>
            <w:hyperlink r:id="rId181">
              <w:r>
                <w:rPr>
                  <w:rFonts w:ascii="Arial" w:cs="Arial" w:eastAsia="Arial" w:hAnsi="Arial"/>
                  <w:sz w:val="18"/>
                  <w:szCs w:val="18"/>
                  <w:u w:val="single" w:color="auto"/>
                  <w:color w:val="0000EE"/>
                  <w:w w:val="99"/>
                </w:rPr>
                <w:t>Registrant’s Annual Report on Form 10-K filed on March 25, 2019 (File No. 001-38537) and incorporated herein by reference)</w:t>
              </w:r>
            </w:hyperlink>
          </w:p>
        </w:tc>
        <w:tc>
          <w:tcPr>
            <w:tcW w:w="0" w:type="dxa"/>
            <w:vAlign w:val="bottom"/>
          </w:tcPr>
          <w:p>
            <w:pPr>
              <w:spacing w:after="0"/>
              <w:rPr>
                <w:sz w:val="1"/>
                <w:szCs w:val="1"/>
                <w:color w:val="auto"/>
              </w:rPr>
            </w:pPr>
          </w:p>
        </w:tc>
      </w:tr>
      <w:tr>
        <w:trPr>
          <w:trHeight w:val="297"/>
        </w:trPr>
        <w:tc>
          <w:tcPr>
            <w:tcW w:w="920" w:type="dxa"/>
            <w:vAlign w:val="bottom"/>
          </w:tcPr>
          <w:p>
            <w:pPr>
              <w:ind w:left="100"/>
              <w:spacing w:after="0"/>
              <w:rPr>
                <w:sz w:val="20"/>
                <w:szCs w:val="20"/>
                <w:color w:val="auto"/>
              </w:rPr>
            </w:pPr>
            <w:r>
              <w:rPr>
                <w:rFonts w:ascii="Arial" w:cs="Arial" w:eastAsia="Arial" w:hAnsi="Arial"/>
                <w:sz w:val="18"/>
                <w:szCs w:val="18"/>
                <w:color w:val="auto"/>
              </w:rPr>
              <w:t>10.15#</w:t>
            </w:r>
          </w:p>
        </w:tc>
        <w:tc>
          <w:tcPr>
            <w:tcW w:w="400" w:type="dxa"/>
            <w:vAlign w:val="bottom"/>
          </w:tcPr>
          <w:p>
            <w:pPr>
              <w:spacing w:after="0"/>
              <w:rPr>
                <w:sz w:val="24"/>
                <w:szCs w:val="24"/>
                <w:color w:val="auto"/>
              </w:rPr>
            </w:pPr>
          </w:p>
        </w:tc>
        <w:tc>
          <w:tcPr>
            <w:tcW w:w="9840" w:type="dxa"/>
            <w:vAlign w:val="bottom"/>
            <w:tcBorders>
              <w:bottom w:val="single" w:sz="8" w:color="0000EE"/>
            </w:tcBorders>
            <w:gridSpan w:val="22"/>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Consulting Agreement, by and between the Registrant and Birgitte Volck, M.D., Ph.D., dated December 17, 2018 (filed as Exhibit 10.14</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gridSpan w:val="24"/>
          </w:tcPr>
          <w:p>
            <w:pPr>
              <w:spacing w:after="0"/>
              <w:rPr>
                <w:rFonts w:ascii="Arial" w:cs="Arial" w:eastAsia="Arial" w:hAnsi="Arial"/>
                <w:sz w:val="18"/>
                <w:szCs w:val="18"/>
                <w:u w:val="single" w:color="auto"/>
                <w:color w:val="0000EE"/>
                <w:w w:val="94"/>
              </w:rPr>
            </w:pPr>
            <w:hyperlink r:id="rId182">
              <w:r>
                <w:rPr>
                  <w:rFonts w:ascii="Arial" w:cs="Arial" w:eastAsia="Arial" w:hAnsi="Arial"/>
                  <w:sz w:val="18"/>
                  <w:szCs w:val="18"/>
                  <w:u w:val="single" w:color="auto"/>
                  <w:color w:val="0000EE"/>
                  <w:w w:val="94"/>
                </w:rPr>
                <w:t>to the Registrant’s Annual Report on Form 10-K filed on March 25, 2019 (File No. 001-38537) and incorporated herein by reference)</w:t>
              </w:r>
            </w:hyperlink>
          </w:p>
        </w:tc>
        <w:tc>
          <w:tcPr>
            <w:tcW w:w="0" w:type="dxa"/>
            <w:vAlign w:val="bottom"/>
          </w:tcPr>
          <w:p>
            <w:pPr>
              <w:spacing w:after="0"/>
              <w:rPr>
                <w:sz w:val="1"/>
                <w:szCs w:val="1"/>
                <w:color w:val="auto"/>
              </w:rPr>
            </w:pPr>
          </w:p>
        </w:tc>
      </w:tr>
      <w:tr>
        <w:trPr>
          <w:trHeight w:val="297"/>
        </w:trPr>
        <w:tc>
          <w:tcPr>
            <w:tcW w:w="920" w:type="dxa"/>
            <w:vAlign w:val="bottom"/>
          </w:tcPr>
          <w:p>
            <w:pPr>
              <w:ind w:left="100"/>
              <w:spacing w:after="0"/>
              <w:rPr>
                <w:sz w:val="20"/>
                <w:szCs w:val="20"/>
                <w:color w:val="auto"/>
              </w:rPr>
            </w:pPr>
            <w:r>
              <w:rPr>
                <w:rFonts w:ascii="Arial" w:cs="Arial" w:eastAsia="Arial" w:hAnsi="Arial"/>
                <w:sz w:val="18"/>
                <w:szCs w:val="18"/>
                <w:color w:val="auto"/>
              </w:rPr>
              <w:t>10.16#</w:t>
            </w:r>
          </w:p>
        </w:tc>
        <w:tc>
          <w:tcPr>
            <w:tcW w:w="40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color w:val="0000EE"/>
                <w:w w:val="95"/>
              </w:rPr>
            </w:pPr>
            <w:hyperlink r:id="rId183">
              <w:r>
                <w:rPr>
                  <w:rFonts w:ascii="Arial" w:cs="Arial" w:eastAsia="Arial" w:hAnsi="Arial"/>
                  <w:sz w:val="18"/>
                  <w:szCs w:val="18"/>
                  <w:color w:val="0000EE"/>
                  <w:w w:val="95"/>
                </w:rPr>
                <w:t>Employment Agreement, by and between the Registrant and Birgitte Volck, M.D., Ph.D., dated December 17, 2018 (filed as Exhibit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00" w:type="dxa"/>
            <w:vAlign w:val="bottom"/>
            <w:tcBorders>
              <w:top w:val="single" w:sz="8" w:color="0000EE"/>
            </w:tcBorders>
            <w:gridSpan w:val="14"/>
          </w:tcPr>
          <w:p>
            <w:pPr>
              <w:spacing w:after="0" w:line="196" w:lineRule="exact"/>
              <w:rPr>
                <w:rFonts w:ascii="Arial" w:cs="Arial" w:eastAsia="Arial" w:hAnsi="Arial"/>
                <w:sz w:val="18"/>
                <w:szCs w:val="18"/>
                <w:color w:val="0000EE"/>
                <w:w w:val="93"/>
              </w:rPr>
            </w:pPr>
            <w:hyperlink r:id="rId183">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15</w:t>
              </w:r>
              <w:r>
                <w:rPr>
                  <w:rFonts w:ascii="Arial" w:cs="Arial" w:eastAsia="Arial" w:hAnsi="Arial"/>
                  <w:sz w:val="18"/>
                  <w:szCs w:val="18"/>
                  <w:color w:val="0000EE"/>
                  <w:w w:val="93"/>
                </w:rPr>
                <w:t xml:space="preserve"> to the Registrant’s Annual Report on Form 10-K filed on March 25, 2019 (File No. 001-38537) and incorporated herein by</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reference)</w:t>
              </w:r>
            </w:hyperlink>
          </w:p>
        </w:tc>
        <w:tc>
          <w:tcPr>
            <w:tcW w:w="6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10.17#</w:t>
            </w:r>
          </w:p>
        </w:tc>
        <w:tc>
          <w:tcPr>
            <w:tcW w:w="400" w:type="dxa"/>
            <w:vAlign w:val="bottom"/>
          </w:tcPr>
          <w:p>
            <w:pPr>
              <w:spacing w:after="0"/>
              <w:rPr>
                <w:sz w:val="24"/>
                <w:szCs w:val="24"/>
                <w:color w:val="auto"/>
              </w:rPr>
            </w:pPr>
          </w:p>
        </w:tc>
        <w:tc>
          <w:tcPr>
            <w:tcW w:w="9820" w:type="dxa"/>
            <w:vAlign w:val="bottom"/>
            <w:tcBorders>
              <w:bottom w:val="single" w:sz="8" w:color="0000EE"/>
            </w:tcBorders>
            <w:gridSpan w:val="21"/>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Separation Agreement and Release, by and between the Registrant and Birgitte Volck, M.D., Ph.D., dated July 16, 2020 (filed as Exhibit</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r>
                <w:rPr>
                  <w:rFonts w:ascii="Arial" w:cs="Arial" w:eastAsia="Arial" w:hAnsi="Arial"/>
                  <w:sz w:val="18"/>
                  <w:szCs w:val="18"/>
                  <w:color w:val="0000EE"/>
                  <w:w w:val="91"/>
                </w:rPr>
                <w:t xml:space="preserve"> to the Registrant’s Quarterly Report on Form 10-Q filed on August 6, 2020 (File No. 001-38537) and incorporated herein by</w:t>
              </w:r>
            </w:hyperlink>
          </w:p>
        </w:tc>
        <w:tc>
          <w:tcPr>
            <w:tcW w:w="6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84">
              <w:r>
                <w:rPr>
                  <w:rFonts w:ascii="Arial" w:cs="Arial" w:eastAsia="Arial" w:hAnsi="Arial"/>
                  <w:sz w:val="18"/>
                  <w:szCs w:val="18"/>
                  <w:color w:val="0000EE"/>
                  <w:w w:val="87"/>
                </w:rPr>
                <w:t>reference).</w:t>
              </w:r>
            </w:hyperlink>
          </w:p>
        </w:tc>
        <w:tc>
          <w:tcPr>
            <w:tcW w:w="91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10.18#</w:t>
            </w:r>
          </w:p>
        </w:tc>
        <w:tc>
          <w:tcPr>
            <w:tcW w:w="400" w:type="dxa"/>
            <w:vAlign w:val="bottom"/>
          </w:tcPr>
          <w:p>
            <w:pPr>
              <w:spacing w:after="0"/>
              <w:rPr>
                <w:sz w:val="24"/>
                <w:szCs w:val="24"/>
                <w:color w:val="auto"/>
              </w:rPr>
            </w:pPr>
          </w:p>
        </w:tc>
        <w:tc>
          <w:tcPr>
            <w:tcW w:w="9580" w:type="dxa"/>
            <w:vAlign w:val="bottom"/>
            <w:tcBorders>
              <w:bottom w:val="single" w:sz="8" w:color="0000EE"/>
            </w:tcBorders>
            <w:gridSpan w:val="17"/>
          </w:tcPr>
          <w:p>
            <w:pPr>
              <w:spacing w:after="0"/>
              <w:rPr>
                <w:rFonts w:ascii="Arial" w:cs="Arial" w:eastAsia="Arial" w:hAnsi="Arial"/>
                <w:sz w:val="18"/>
                <w:szCs w:val="18"/>
                <w:color w:val="0000EE"/>
                <w:w w:val="89"/>
              </w:rPr>
            </w:pPr>
            <w:hyperlink r:id="rId185">
              <w:r>
                <w:rPr>
                  <w:rFonts w:ascii="Arial" w:cs="Arial" w:eastAsia="Arial" w:hAnsi="Arial"/>
                  <w:sz w:val="18"/>
                  <w:szCs w:val="18"/>
                  <w:color w:val="0000EE"/>
                  <w:w w:val="89"/>
                </w:rPr>
                <w:t>Employment Agreement, by and between the Registrant and Deanna Petersen, dated September 1, 2018 (filed as Exhibit 10.16 to the</w:t>
              </w:r>
            </w:hyperlink>
          </w:p>
        </w:tc>
        <w:tc>
          <w:tcPr>
            <w:tcW w:w="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gridSpan w:val="24"/>
          </w:tcPr>
          <w:p>
            <w:pPr>
              <w:spacing w:after="0"/>
              <w:rPr>
                <w:rFonts w:ascii="Arial" w:cs="Arial" w:eastAsia="Arial" w:hAnsi="Arial"/>
                <w:sz w:val="18"/>
                <w:szCs w:val="18"/>
                <w:u w:val="single" w:color="auto"/>
                <w:color w:val="0000EE"/>
                <w:w w:val="99"/>
              </w:rPr>
            </w:pPr>
            <w:hyperlink r:id="rId185">
              <w:r>
                <w:rPr>
                  <w:rFonts w:ascii="Arial" w:cs="Arial" w:eastAsia="Arial" w:hAnsi="Arial"/>
                  <w:sz w:val="18"/>
                  <w:szCs w:val="18"/>
                  <w:u w:val="single" w:color="auto"/>
                  <w:color w:val="0000EE"/>
                  <w:w w:val="99"/>
                </w:rPr>
                <w:t>Registrant’s Annual Report on Form 10-K filed on March 16, 2020 (File No. 001-38537) and incorporated herein by reference)</w:t>
              </w:r>
            </w:hyperlink>
          </w:p>
        </w:tc>
        <w:tc>
          <w:tcPr>
            <w:tcW w:w="0" w:type="dxa"/>
            <w:vAlign w:val="bottom"/>
          </w:tcPr>
          <w:p>
            <w:pPr>
              <w:spacing w:after="0"/>
              <w:rPr>
                <w:sz w:val="1"/>
                <w:szCs w:val="1"/>
                <w:color w:val="auto"/>
              </w:rPr>
            </w:pPr>
          </w:p>
        </w:tc>
      </w:tr>
      <w:tr>
        <w:trPr>
          <w:trHeight w:val="338"/>
        </w:trPr>
        <w:tc>
          <w:tcPr>
            <w:tcW w:w="920" w:type="dxa"/>
            <w:vAlign w:val="bottom"/>
          </w:tcPr>
          <w:p>
            <w:pPr>
              <w:ind w:left="100"/>
              <w:spacing w:after="0"/>
              <w:rPr>
                <w:sz w:val="20"/>
                <w:szCs w:val="20"/>
                <w:color w:val="auto"/>
              </w:rPr>
            </w:pPr>
            <w:r>
              <w:rPr>
                <w:rFonts w:ascii="Arial" w:cs="Arial" w:eastAsia="Arial" w:hAnsi="Arial"/>
                <w:sz w:val="18"/>
                <w:szCs w:val="18"/>
                <w:color w:val="auto"/>
              </w:rPr>
              <w:t>10.19#</w:t>
            </w:r>
          </w:p>
        </w:tc>
        <w:tc>
          <w:tcPr>
            <w:tcW w:w="40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Employment Agreement, by and between the Registrant and Chris Mason, dated September 1, 2018</w:t>
              </w:r>
            </w:hyperlink>
          </w:p>
        </w:tc>
        <w:tc>
          <w:tcPr>
            <w:tcW w:w="0" w:type="dxa"/>
            <w:vAlign w:val="bottom"/>
          </w:tcPr>
          <w:p>
            <w:pPr>
              <w:spacing w:after="0"/>
              <w:rPr>
                <w:sz w:val="1"/>
                <w:szCs w:val="1"/>
                <w:color w:val="auto"/>
              </w:rPr>
            </w:pPr>
          </w:p>
        </w:tc>
      </w:tr>
      <w:tr>
        <w:trPr>
          <w:trHeight w:val="338"/>
        </w:trPr>
        <w:tc>
          <w:tcPr>
            <w:tcW w:w="920" w:type="dxa"/>
            <w:vAlign w:val="bottom"/>
          </w:tcPr>
          <w:p>
            <w:pPr>
              <w:ind w:left="100"/>
              <w:spacing w:after="0"/>
              <w:rPr>
                <w:sz w:val="20"/>
                <w:szCs w:val="20"/>
                <w:color w:val="auto"/>
              </w:rPr>
            </w:pPr>
            <w:r>
              <w:rPr>
                <w:rFonts w:ascii="Arial" w:cs="Arial" w:eastAsia="Arial" w:hAnsi="Arial"/>
                <w:sz w:val="18"/>
                <w:szCs w:val="18"/>
                <w:color w:val="auto"/>
              </w:rPr>
              <w:t>10.20#</w:t>
            </w:r>
          </w:p>
        </w:tc>
        <w:tc>
          <w:tcPr>
            <w:tcW w:w="40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Employment Agreement, by and between the Registrant and Diana Escolar, dated December 4, 2020</w:t>
              </w:r>
            </w:hyperlink>
          </w:p>
        </w:tc>
        <w:tc>
          <w:tcPr>
            <w:tcW w:w="0" w:type="dxa"/>
            <w:vAlign w:val="bottom"/>
          </w:tcPr>
          <w:p>
            <w:pPr>
              <w:spacing w:after="0"/>
              <w:rPr>
                <w:sz w:val="1"/>
                <w:szCs w:val="1"/>
                <w:color w:val="auto"/>
              </w:rPr>
            </w:pPr>
          </w:p>
        </w:tc>
      </w:tr>
      <w:tr>
        <w:trPr>
          <w:trHeight w:val="297"/>
        </w:trPr>
        <w:tc>
          <w:tcPr>
            <w:tcW w:w="920" w:type="dxa"/>
            <w:vAlign w:val="bottom"/>
          </w:tcPr>
          <w:p>
            <w:pPr>
              <w:ind w:left="100"/>
              <w:spacing w:after="0"/>
              <w:rPr>
                <w:sz w:val="20"/>
                <w:szCs w:val="20"/>
                <w:color w:val="auto"/>
              </w:rPr>
            </w:pPr>
            <w:r>
              <w:rPr>
                <w:rFonts w:ascii="Arial" w:cs="Arial" w:eastAsia="Arial" w:hAnsi="Arial"/>
                <w:sz w:val="18"/>
                <w:szCs w:val="18"/>
                <w:color w:val="auto"/>
              </w:rPr>
              <w:t>10.21#</w:t>
            </w:r>
          </w:p>
        </w:tc>
        <w:tc>
          <w:tcPr>
            <w:tcW w:w="40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color w:val="0000EE"/>
                <w:w w:val="93"/>
              </w:rPr>
            </w:pPr>
            <w:hyperlink r:id="rId186">
              <w:r>
                <w:rPr>
                  <w:rFonts w:ascii="Arial" w:cs="Arial" w:eastAsia="Arial" w:hAnsi="Arial"/>
                  <w:sz w:val="18"/>
                  <w:szCs w:val="18"/>
                  <w:color w:val="0000EE"/>
                  <w:w w:val="93"/>
                </w:rPr>
                <w:t>2018 Employee Stock Purchase Plan (filed as Exhibit 10.14 to the Registrant’s Second Amendment to the Registration Statement 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Form S-1 filed on June 11, 2018 (File No. 333-225213) and incorporated herein by reference)</w:t>
              </w:r>
            </w:hyperlink>
          </w:p>
        </w:tc>
        <w:tc>
          <w:tcPr>
            <w:tcW w:w="4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20" w:type="dxa"/>
            <w:vAlign w:val="bottom"/>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10.22</w:t>
            </w:r>
          </w:p>
        </w:tc>
        <w:tc>
          <w:tcPr>
            <w:tcW w:w="40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Lease Agreement, dated as of January 12, 2018, by and between the Registrant and ARE-MA Region No. 59, LLC (filed as Exhibit</w:t>
              </w:r>
            </w:hyperlink>
          </w:p>
        </w:tc>
        <w:tc>
          <w:tcPr>
            <w:tcW w:w="4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24"/>
          </w:tcPr>
          <w:p>
            <w:pPr>
              <w:spacing w:after="0" w:line="196"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12</w:t>
              </w:r>
              <w:r>
                <w:rPr>
                  <w:rFonts w:ascii="Arial" w:cs="Arial" w:eastAsia="Arial" w:hAnsi="Arial"/>
                  <w:sz w:val="18"/>
                  <w:szCs w:val="18"/>
                  <w:color w:val="0000EE"/>
                  <w:w w:val="92"/>
                </w:rPr>
                <w:t xml:space="preserve"> to the Registrant’s Registration Statement on Form S-1 filed on May 25, 2018 (File No. 333-225213) and incorporated herein by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reference)</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7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10.23#</w:t>
            </w:r>
          </w:p>
        </w:tc>
        <w:tc>
          <w:tcPr>
            <w:tcW w:w="40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2019 Inducement Plan and form of award agreement thereunder (filed as Exhibit 99.1 to the Registrant’s Registration Statement on Form</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7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S-8 filed on December 20, 2019 (File No. 333-235643) and incorporated herein by reference)</w:t>
              </w:r>
            </w:hyperlink>
          </w:p>
        </w:tc>
        <w:tc>
          <w:tcPr>
            <w:tcW w:w="31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10.24#</w:t>
            </w:r>
          </w:p>
        </w:tc>
        <w:tc>
          <w:tcPr>
            <w:tcW w:w="40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color w:val="0000EE"/>
                <w:w w:val="94"/>
              </w:rPr>
            </w:pPr>
            <w:hyperlink r:id="rId189">
              <w:r>
                <w:rPr>
                  <w:rFonts w:ascii="Arial" w:cs="Arial" w:eastAsia="Arial" w:hAnsi="Arial"/>
                  <w:sz w:val="18"/>
                  <w:szCs w:val="18"/>
                  <w:color w:val="0000EE"/>
                  <w:w w:val="94"/>
                </w:rPr>
                <w:t>Form of 2019 Inducement Stock Option Award (filed as Exhibit 99.1 to the Registrant’s Registration Statement on Form S-8 filed 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March 25, 2019 (File No. 333-230493)) and incorporated herein by reference)</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20" w:type="dxa"/>
            <w:vAlign w:val="bottom"/>
          </w:tcPr>
          <w:p>
            <w:pPr>
              <w:ind w:left="100"/>
              <w:spacing w:after="0"/>
              <w:rPr>
                <w:sz w:val="20"/>
                <w:szCs w:val="20"/>
                <w:color w:val="auto"/>
              </w:rPr>
            </w:pPr>
            <w:r>
              <w:rPr>
                <w:rFonts w:ascii="Arial" w:cs="Arial" w:eastAsia="Arial" w:hAnsi="Arial"/>
                <w:sz w:val="18"/>
                <w:szCs w:val="18"/>
                <w:color w:val="auto"/>
              </w:rPr>
              <w:t>10.25#</w:t>
            </w:r>
          </w:p>
        </w:tc>
        <w:tc>
          <w:tcPr>
            <w:tcW w:w="400" w:type="dxa"/>
            <w:vAlign w:val="bottom"/>
          </w:tcPr>
          <w:p>
            <w:pPr>
              <w:spacing w:after="0"/>
              <w:rPr>
                <w:sz w:val="24"/>
                <w:szCs w:val="24"/>
                <w:color w:val="auto"/>
              </w:rPr>
            </w:pPr>
          </w:p>
        </w:tc>
        <w:tc>
          <w:tcPr>
            <w:tcW w:w="5620" w:type="dxa"/>
            <w:vAlign w:val="bottom"/>
            <w:tcBorders>
              <w:top w:val="single" w:sz="8" w:color="0000EE"/>
            </w:tcBorders>
            <w:gridSpan w:val="7"/>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2020 Inducement Plan and form of award agreement thereunder</w:t>
              </w:r>
            </w:hyperlink>
          </w:p>
        </w:tc>
        <w:tc>
          <w:tcPr>
            <w:tcW w:w="43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ind w:left="100"/>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Subsidiaries of the Registrant</w:t>
              </w:r>
            </w:hyperlink>
          </w:p>
        </w:tc>
        <w:tc>
          <w:tcPr>
            <w:tcW w:w="0" w:type="dxa"/>
            <w:vAlign w:val="bottom"/>
          </w:tcPr>
          <w:p>
            <w:pPr>
              <w:spacing w:after="0"/>
              <w:rPr>
                <w:sz w:val="1"/>
                <w:szCs w:val="1"/>
                <w:color w:val="auto"/>
              </w:rPr>
            </w:pPr>
          </w:p>
        </w:tc>
      </w:tr>
      <w:tr>
        <w:trPr>
          <w:trHeight w:val="338"/>
        </w:trPr>
        <w:tc>
          <w:tcPr>
            <w:tcW w:w="920" w:type="dxa"/>
            <w:vAlign w:val="bottom"/>
          </w:tcPr>
          <w:p>
            <w:pPr>
              <w:ind w:left="100"/>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297"/>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96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193">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9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93">
              <w:r>
                <w:rPr>
                  <w:rFonts w:ascii="Arial" w:cs="Arial" w:eastAsia="Arial" w:hAnsi="Arial"/>
                  <w:sz w:val="18"/>
                  <w:szCs w:val="18"/>
                  <w:color w:val="0000EE"/>
                  <w:w w:val="90"/>
                </w:rPr>
                <w:t>Adopted Pursuant to Section 302 of the Sarbanes-Oxley Act of 2002</w:t>
              </w:r>
            </w:hyperlink>
          </w:p>
        </w:tc>
        <w:tc>
          <w:tcPr>
            <w:tcW w:w="49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color w:val="0000EE"/>
                <w:w w:val="94"/>
              </w:rPr>
            </w:pPr>
            <w:hyperlink w:anchor="page194">
              <w:r>
                <w:rPr>
                  <w:rFonts w:ascii="Arial" w:cs="Arial" w:eastAsia="Arial" w:hAnsi="Arial"/>
                  <w:sz w:val="18"/>
                  <w:szCs w:val="18"/>
                  <w:color w:val="0000EE"/>
                  <w:w w:val="94"/>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94">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10"/>
          </w:tcPr>
          <w:p>
            <w:pPr>
              <w:spacing w:after="0"/>
              <w:rPr>
                <w:sz w:val="17"/>
                <w:szCs w:val="17"/>
                <w:color w:val="auto"/>
              </w:rPr>
            </w:pPr>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color w:val="0000EE"/>
                <w:w w:val="93"/>
              </w:rPr>
            </w:pPr>
            <w:hyperlink w:anchor="page195">
              <w:r>
                <w:rPr>
                  <w:rFonts w:ascii="Arial" w:cs="Arial" w:eastAsia="Arial" w:hAnsi="Arial"/>
                  <w:sz w:val="18"/>
                  <w:szCs w:val="18"/>
                  <w:color w:val="0000EE"/>
                  <w:w w:val="93"/>
                </w:rPr>
                <w:t>Certification of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Section 906 of the Sarbanes-Oxley Act of 2002</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3400" w:type="dxa"/>
            <w:vAlign w:val="bottom"/>
            <w:tcBorders>
              <w:top w:val="single" w:sz="8" w:color="0000EE"/>
            </w:tcBorders>
            <w:gridSpan w:val="4"/>
          </w:tcPr>
          <w:p>
            <w:pPr>
              <w:spacing w:after="0"/>
              <w:rPr>
                <w:sz w:val="24"/>
                <w:szCs w:val="24"/>
                <w:color w:val="auto"/>
              </w:rPr>
            </w:pPr>
          </w:p>
        </w:tc>
        <w:tc>
          <w:tcPr>
            <w:tcW w:w="1520" w:type="dxa"/>
            <w:vAlign w:val="bottom"/>
          </w:tcPr>
          <w:p>
            <w:pPr>
              <w:jc w:val="right"/>
              <w:ind w:right="419"/>
              <w:spacing w:after="0"/>
              <w:rPr>
                <w:sz w:val="20"/>
                <w:szCs w:val="20"/>
                <w:color w:val="auto"/>
              </w:rPr>
            </w:pPr>
            <w:r>
              <w:rPr>
                <w:rFonts w:ascii="Arial" w:cs="Arial" w:eastAsia="Arial" w:hAnsi="Arial"/>
                <w:sz w:val="18"/>
                <w:szCs w:val="18"/>
                <w:color w:val="auto"/>
              </w:rPr>
              <w:t>106</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61"/>
        </w:trPr>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9920" w:type="dxa"/>
            <w:vAlign w:val="bottom"/>
            <w:vMerge w:val="restart"/>
          </w:tcPr>
          <w:p>
            <w:pPr>
              <w:ind w:left="438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6"/>
              </w:rPr>
              <w:t>Interactive Data Files pursuant to Rule 405 of Regulation S-T formatted in Inline Extensible Business Reporting Language (“Inline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XBRL”).</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7"/>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320" w:right="460" w:hanging="1312"/>
        <w:spacing w:after="0" w:line="277" w:lineRule="auto"/>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70" w:lineRule="exact"/>
        <w:rPr>
          <w:sz w:val="20"/>
          <w:szCs w:val="20"/>
          <w:color w:val="auto"/>
        </w:rPr>
      </w:pPr>
    </w:p>
    <w:p>
      <w:pPr>
        <w:ind w:left="540" w:right="720" w:hanging="532"/>
        <w:spacing w:after="0" w:line="258"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pursuant to Rule 406 promulgated under the Securities Act of 1933, as amended.</w:t>
      </w:r>
    </w:p>
    <w:p>
      <w:pPr>
        <w:spacing w:after="0" w:line="1" w:lineRule="exact"/>
        <w:rPr>
          <w:sz w:val="20"/>
          <w:szCs w:val="20"/>
          <w:color w:val="auto"/>
        </w:rPr>
      </w:pPr>
    </w:p>
    <w:p>
      <w:pPr>
        <w:ind w:left="540" w:right="360" w:hanging="532"/>
        <w:spacing w:after="0" w:line="250"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Portions of this exhibit have been omitted because they are both (i) not material and (ii) would likely cause competitive harm to the registrant if publicly disclosed.</w:t>
      </w:r>
    </w:p>
    <w:p>
      <w:pPr>
        <w:spacing w:after="0" w:line="1" w:lineRule="exact"/>
        <w:rPr>
          <w:sz w:val="20"/>
          <w:szCs w:val="20"/>
          <w:color w:val="auto"/>
        </w:rPr>
      </w:pPr>
    </w:p>
    <w:p>
      <w:pPr>
        <w:ind w:left="540" w:hanging="532"/>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the exhibit is being furnished, not filed, with this report.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18</w:t>
      </w:r>
      <w:r>
        <w:rPr>
          <w:rFonts w:ascii="Arial" w:cs="Arial" w:eastAsia="Arial" w:hAnsi="Arial"/>
          <w:sz w:val="15"/>
          <w:szCs w:val="15"/>
          <w:color w:val="auto"/>
        </w:rPr>
        <w:t>th</w:t>
      </w:r>
      <w:r>
        <w:rPr>
          <w:rFonts w:ascii="Arial" w:cs="Arial" w:eastAsia="Arial" w:hAnsi="Arial"/>
          <w:sz w:val="18"/>
          <w:szCs w:val="18"/>
          <w:color w:val="auto"/>
        </w:rPr>
        <w:t xml:space="preserve"> day of March, 2021.</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570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486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2" w:lineRule="exact"/>
        <w:rPr>
          <w:sz w:val="20"/>
          <w:szCs w:val="20"/>
          <w:color w:val="auto"/>
        </w:rPr>
      </w:pPr>
    </w:p>
    <w:p>
      <w:pPr>
        <w:ind w:right="20" w:firstLine="546"/>
        <w:spacing w:after="0" w:line="292"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Geoff MacKay and Erik</w:t>
      </w:r>
      <w:r>
        <w:rPr>
          <w:rFonts w:ascii="Arial" w:cs="Arial" w:eastAsia="Arial" w:hAnsi="Arial"/>
          <w:sz w:val="16"/>
          <w:szCs w:val="16"/>
          <w:b w:val="1"/>
          <w:bCs w:val="1"/>
          <w:color w:val="auto"/>
        </w:rPr>
        <w:t xml:space="preserve"> </w:t>
      </w:r>
      <w:r>
        <w:rPr>
          <w:rFonts w:ascii="Arial" w:cs="Arial" w:eastAsia="Arial" w:hAnsi="Arial"/>
          <w:sz w:val="16"/>
          <w:szCs w:val="16"/>
          <w:color w:val="auto"/>
        </w:rPr>
        <w:t>Ostrowski, and each of them, his or her true and lawful attorneys-in-fact and agents, with full power of substitution and resubstitution, for him or her and in his or her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substitutes or substitute, may lawfully do or cause to be done by virtue hereof.</w:t>
      </w:r>
    </w:p>
    <w:p>
      <w:pPr>
        <w:spacing w:after="0" w:line="165"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40" w:type="dxa"/>
            <w:vAlign w:val="bottom"/>
          </w:tcPr>
          <w:p>
            <w:pPr>
              <w:spacing w:after="0"/>
              <w:rPr>
                <w:sz w:val="14"/>
                <w:szCs w:val="14"/>
                <w:color w:val="auto"/>
              </w:rPr>
            </w:pPr>
          </w:p>
        </w:tc>
        <w:tc>
          <w:tcPr>
            <w:tcW w:w="392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314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17"/>
        </w:trPr>
        <w:tc>
          <w:tcPr>
            <w:tcW w:w="3940" w:type="dxa"/>
            <w:vAlign w:val="bottom"/>
          </w:tcPr>
          <w:p>
            <w:pPr>
              <w:jc w:val="center"/>
              <w:spacing w:after="0"/>
              <w:rPr>
                <w:sz w:val="20"/>
                <w:szCs w:val="20"/>
                <w:color w:val="auto"/>
              </w:rPr>
            </w:pPr>
            <w:r>
              <w:rPr>
                <w:rFonts w:ascii="Arial" w:cs="Arial" w:eastAsia="Arial" w:hAnsi="Arial"/>
                <w:sz w:val="18"/>
                <w:szCs w:val="18"/>
                <w:color w:val="auto"/>
                <w:w w:val="92"/>
              </w:rPr>
              <w:t>/s/ Geoff MacKay</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President, Chief Executive Officer and</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18, 2021</w:t>
            </w:r>
          </w:p>
        </w:tc>
        <w:tc>
          <w:tcPr>
            <w:tcW w:w="0" w:type="dxa"/>
            <w:vAlign w:val="bottom"/>
          </w:tcPr>
          <w:p>
            <w:pPr>
              <w:spacing w:after="0"/>
              <w:rPr>
                <w:sz w:val="1"/>
                <w:szCs w:val="1"/>
                <w:color w:val="auto"/>
              </w:rPr>
            </w:pPr>
          </w:p>
        </w:tc>
      </w:tr>
      <w:tr>
        <w:trPr>
          <w:trHeight w:val="41"/>
        </w:trPr>
        <w:tc>
          <w:tcPr>
            <w:tcW w:w="3940" w:type="dxa"/>
            <w:vAlign w:val="bottom"/>
            <w:tcBorders>
              <w:bottom w:val="single" w:sz="8" w:color="auto"/>
            </w:tcBorders>
          </w:tcPr>
          <w:p>
            <w:pPr>
              <w:spacing w:after="0"/>
              <w:rPr>
                <w:sz w:val="3"/>
                <w:szCs w:val="3"/>
                <w:color w:val="auto"/>
              </w:rPr>
            </w:pPr>
          </w:p>
        </w:tc>
        <w:tc>
          <w:tcPr>
            <w:tcW w:w="4160" w:type="dxa"/>
            <w:vAlign w:val="bottom"/>
            <w:gridSpan w:val="3"/>
            <w:vMerge w:val="restart"/>
          </w:tcPr>
          <w:p>
            <w:pPr>
              <w:ind w:left="140"/>
              <w:spacing w:after="0"/>
              <w:rPr>
                <w:sz w:val="20"/>
                <w:szCs w:val="20"/>
                <w:color w:val="auto"/>
              </w:rPr>
            </w:pPr>
            <w:r>
              <w:rPr>
                <w:rFonts w:ascii="Arial" w:cs="Arial" w:eastAsia="Arial" w:hAnsi="Arial"/>
                <w:sz w:val="18"/>
                <w:szCs w:val="18"/>
                <w:color w:val="auto"/>
              </w:rPr>
              <w:t>Director</w:t>
            </w:r>
          </w:p>
        </w:tc>
        <w:tc>
          <w:tcPr>
            <w:tcW w:w="3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940" w:type="dxa"/>
            <w:vAlign w:val="bottom"/>
          </w:tcPr>
          <w:p>
            <w:pPr>
              <w:jc w:val="center"/>
              <w:spacing w:after="0" w:line="156" w:lineRule="exact"/>
              <w:rPr>
                <w:sz w:val="20"/>
                <w:szCs w:val="20"/>
                <w:color w:val="auto"/>
              </w:rPr>
            </w:pPr>
            <w:r>
              <w:rPr>
                <w:rFonts w:ascii="Arial" w:cs="Arial" w:eastAsia="Arial" w:hAnsi="Arial"/>
                <w:sz w:val="18"/>
                <w:szCs w:val="18"/>
                <w:color w:val="auto"/>
                <w:w w:val="94"/>
              </w:rPr>
              <w:t>Geoff MacKay</w:t>
            </w:r>
          </w:p>
        </w:tc>
        <w:tc>
          <w:tcPr>
            <w:tcW w:w="4160" w:type="dxa"/>
            <w:vAlign w:val="bottom"/>
            <w:gridSpan w:val="3"/>
            <w:vMerge w:val="continue"/>
          </w:tcPr>
          <w:p>
            <w:pPr>
              <w:spacing w:after="0"/>
              <w:rPr>
                <w:sz w:val="13"/>
                <w:szCs w:val="13"/>
                <w:color w:val="auto"/>
              </w:rPr>
            </w:pPr>
          </w:p>
        </w:tc>
        <w:tc>
          <w:tcPr>
            <w:tcW w:w="3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4160" w:type="dxa"/>
            <w:vAlign w:val="bottom"/>
            <w:gridSpan w:val="3"/>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940" w:type="dxa"/>
            <w:vAlign w:val="bottom"/>
          </w:tcPr>
          <w:p>
            <w:pPr>
              <w:jc w:val="center"/>
              <w:spacing w:after="0"/>
              <w:rPr>
                <w:sz w:val="20"/>
                <w:szCs w:val="20"/>
                <w:color w:val="auto"/>
              </w:rPr>
            </w:pPr>
            <w:r>
              <w:rPr>
                <w:rFonts w:ascii="Arial" w:cs="Arial" w:eastAsia="Arial" w:hAnsi="Arial"/>
                <w:sz w:val="18"/>
                <w:szCs w:val="18"/>
                <w:color w:val="auto"/>
                <w:w w:val="94"/>
              </w:rPr>
              <w:t>/s/ Erik Ostrowski</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18, 2021</w:t>
            </w:r>
          </w:p>
        </w:tc>
        <w:tc>
          <w:tcPr>
            <w:tcW w:w="0" w:type="dxa"/>
            <w:vAlign w:val="bottom"/>
          </w:tcPr>
          <w:p>
            <w:pPr>
              <w:spacing w:after="0"/>
              <w:rPr>
                <w:sz w:val="1"/>
                <w:szCs w:val="1"/>
                <w:color w:val="auto"/>
              </w:rPr>
            </w:pPr>
          </w:p>
        </w:tc>
      </w:tr>
      <w:tr>
        <w:trPr>
          <w:trHeight w:val="41"/>
        </w:trPr>
        <w:tc>
          <w:tcPr>
            <w:tcW w:w="3940" w:type="dxa"/>
            <w:vAlign w:val="bottom"/>
            <w:tcBorders>
              <w:bottom w:val="single" w:sz="8" w:color="auto"/>
            </w:tcBorders>
          </w:tcPr>
          <w:p>
            <w:pPr>
              <w:spacing w:after="0"/>
              <w:rPr>
                <w:sz w:val="3"/>
                <w:szCs w:val="3"/>
                <w:color w:val="auto"/>
              </w:rPr>
            </w:pPr>
          </w:p>
        </w:tc>
        <w:tc>
          <w:tcPr>
            <w:tcW w:w="4160" w:type="dxa"/>
            <w:vAlign w:val="bottom"/>
            <w:gridSpan w:val="3"/>
            <w:vMerge w:val="restart"/>
          </w:tcPr>
          <w:p>
            <w:pPr>
              <w:ind w:left="140"/>
              <w:spacing w:after="0"/>
              <w:rPr>
                <w:sz w:val="20"/>
                <w:szCs w:val="20"/>
                <w:color w:val="auto"/>
              </w:rPr>
            </w:pPr>
            <w:r>
              <w:rPr>
                <w:rFonts w:ascii="Arial" w:cs="Arial" w:eastAsia="Arial" w:hAnsi="Arial"/>
                <w:sz w:val="18"/>
                <w:szCs w:val="18"/>
                <w:i w:val="1"/>
                <w:iCs w:val="1"/>
                <w:color w:val="auto"/>
              </w:rPr>
              <w:t>(Principal Financial Officer and Principal</w:t>
            </w:r>
          </w:p>
        </w:tc>
        <w:tc>
          <w:tcPr>
            <w:tcW w:w="3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940" w:type="dxa"/>
            <w:vAlign w:val="bottom"/>
          </w:tcPr>
          <w:p>
            <w:pPr>
              <w:jc w:val="center"/>
              <w:spacing w:after="0" w:line="156" w:lineRule="exact"/>
              <w:rPr>
                <w:sz w:val="20"/>
                <w:szCs w:val="20"/>
                <w:color w:val="auto"/>
              </w:rPr>
            </w:pPr>
            <w:r>
              <w:rPr>
                <w:rFonts w:ascii="Arial" w:cs="Arial" w:eastAsia="Arial" w:hAnsi="Arial"/>
                <w:sz w:val="18"/>
                <w:szCs w:val="18"/>
                <w:color w:val="auto"/>
                <w:w w:val="93"/>
              </w:rPr>
              <w:t>Erik Ostrowski</w:t>
            </w:r>
          </w:p>
        </w:tc>
        <w:tc>
          <w:tcPr>
            <w:tcW w:w="4160" w:type="dxa"/>
            <w:vAlign w:val="bottom"/>
            <w:gridSpan w:val="3"/>
            <w:vMerge w:val="continue"/>
          </w:tcPr>
          <w:p>
            <w:pPr>
              <w:spacing w:after="0"/>
              <w:rPr>
                <w:sz w:val="13"/>
                <w:szCs w:val="13"/>
                <w:color w:val="auto"/>
              </w:rPr>
            </w:pPr>
          </w:p>
        </w:tc>
        <w:tc>
          <w:tcPr>
            <w:tcW w:w="3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4160" w:type="dxa"/>
            <w:vAlign w:val="bottom"/>
            <w:gridSpan w:val="3"/>
          </w:tcPr>
          <w:p>
            <w:pPr>
              <w:ind w:left="140"/>
              <w:spacing w:after="0"/>
              <w:rPr>
                <w:sz w:val="20"/>
                <w:szCs w:val="20"/>
                <w:color w:val="auto"/>
              </w:rPr>
            </w:pPr>
            <w:r>
              <w:rPr>
                <w:rFonts w:ascii="Arial" w:cs="Arial" w:eastAsia="Arial" w:hAnsi="Arial"/>
                <w:sz w:val="18"/>
                <w:szCs w:val="18"/>
                <w:i w:val="1"/>
                <w:iCs w:val="1"/>
                <w:color w:val="auto"/>
              </w:rPr>
              <w:t>Accounting Officer)</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3940" w:type="dxa"/>
            <w:vAlign w:val="bottom"/>
          </w:tcPr>
          <w:p>
            <w:pPr>
              <w:jc w:val="center"/>
              <w:spacing w:after="0"/>
              <w:rPr>
                <w:sz w:val="20"/>
                <w:szCs w:val="20"/>
                <w:color w:val="auto"/>
              </w:rPr>
            </w:pPr>
            <w:r>
              <w:rPr>
                <w:rFonts w:ascii="Arial" w:cs="Arial" w:eastAsia="Arial" w:hAnsi="Arial"/>
                <w:sz w:val="18"/>
                <w:szCs w:val="18"/>
                <w:color w:val="auto"/>
                <w:w w:val="90"/>
              </w:rPr>
              <w:t>/s/ Bruce Booth</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Chairman of the Board of Directors</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18, 2021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3"/>
              </w:rPr>
              <w:t>Bruce Booth, D.Phil.</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940" w:type="dxa"/>
            <w:vAlign w:val="bottom"/>
          </w:tcPr>
          <w:p>
            <w:pPr>
              <w:jc w:val="center"/>
              <w:spacing w:after="0"/>
              <w:rPr>
                <w:sz w:val="20"/>
                <w:szCs w:val="20"/>
                <w:color w:val="auto"/>
              </w:rPr>
            </w:pPr>
            <w:r>
              <w:rPr>
                <w:rFonts w:ascii="Arial" w:cs="Arial" w:eastAsia="Arial" w:hAnsi="Arial"/>
                <w:sz w:val="18"/>
                <w:szCs w:val="18"/>
                <w:color w:val="auto"/>
                <w:w w:val="92"/>
              </w:rPr>
              <w:t>/s/ Ian T. Clark</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18, 2021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2"/>
              </w:rPr>
              <w:t>Ian T. Clark</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940" w:type="dxa"/>
            <w:vAlign w:val="bottom"/>
          </w:tcPr>
          <w:p>
            <w:pPr>
              <w:jc w:val="center"/>
              <w:spacing w:after="0"/>
              <w:rPr>
                <w:sz w:val="20"/>
                <w:szCs w:val="20"/>
                <w:color w:val="auto"/>
              </w:rPr>
            </w:pPr>
            <w:r>
              <w:rPr>
                <w:rFonts w:ascii="Arial" w:cs="Arial" w:eastAsia="Arial" w:hAnsi="Arial"/>
                <w:sz w:val="18"/>
                <w:szCs w:val="18"/>
                <w:color w:val="auto"/>
                <w:w w:val="92"/>
              </w:rPr>
              <w:t>/s/ Gail Farfel, Ph.D.</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18, 2021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6"/>
              </w:rPr>
              <w:t>Gail Farfel</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940" w:type="dxa"/>
            <w:vAlign w:val="bottom"/>
          </w:tcPr>
          <w:p>
            <w:pPr>
              <w:jc w:val="center"/>
              <w:spacing w:after="0"/>
              <w:rPr>
                <w:sz w:val="20"/>
                <w:szCs w:val="20"/>
                <w:color w:val="auto"/>
              </w:rPr>
            </w:pPr>
            <w:r>
              <w:rPr>
                <w:rFonts w:ascii="Arial" w:cs="Arial" w:eastAsia="Arial" w:hAnsi="Arial"/>
                <w:sz w:val="18"/>
                <w:szCs w:val="18"/>
                <w:color w:val="auto"/>
                <w:w w:val="93"/>
              </w:rPr>
              <w:t>/s/ Phillip B. Donenberg</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18, 2021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2"/>
              </w:rPr>
              <w:t>Phillip B. Donenberg</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940" w:type="dxa"/>
            <w:vAlign w:val="bottom"/>
          </w:tcPr>
          <w:p>
            <w:pPr>
              <w:jc w:val="center"/>
              <w:spacing w:after="0"/>
              <w:rPr>
                <w:sz w:val="20"/>
                <w:szCs w:val="20"/>
                <w:color w:val="auto"/>
              </w:rPr>
            </w:pPr>
            <w:r>
              <w:rPr>
                <w:rFonts w:ascii="Arial" w:cs="Arial" w:eastAsia="Arial" w:hAnsi="Arial"/>
                <w:sz w:val="18"/>
                <w:szCs w:val="18"/>
                <w:color w:val="auto"/>
                <w:w w:val="90"/>
              </w:rPr>
              <w:t>/s/ Annalisa Jenkins</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18, 2021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0"/>
              </w:rPr>
              <w:t>Annalisa Jenkins, M.B.B.S., F.R.C.P</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940" w:type="dxa"/>
            <w:vAlign w:val="bottom"/>
          </w:tcPr>
          <w:p>
            <w:pPr>
              <w:jc w:val="center"/>
              <w:spacing w:after="0"/>
              <w:rPr>
                <w:sz w:val="20"/>
                <w:szCs w:val="20"/>
                <w:color w:val="auto"/>
              </w:rPr>
            </w:pPr>
            <w:r>
              <w:rPr>
                <w:rFonts w:ascii="Arial" w:cs="Arial" w:eastAsia="Arial" w:hAnsi="Arial"/>
                <w:sz w:val="18"/>
                <w:szCs w:val="18"/>
                <w:color w:val="auto"/>
                <w:w w:val="90"/>
              </w:rPr>
              <w:t>/s/ Christopher Paige</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18, 2021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0"/>
              </w:rPr>
              <w:t>Christopher Paige, Ph.D.</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940" w:type="dxa"/>
            <w:vAlign w:val="bottom"/>
          </w:tcPr>
          <w:p>
            <w:pPr>
              <w:jc w:val="center"/>
              <w:spacing w:after="0"/>
              <w:rPr>
                <w:sz w:val="20"/>
                <w:szCs w:val="20"/>
                <w:color w:val="auto"/>
              </w:rPr>
            </w:pPr>
            <w:r>
              <w:rPr>
                <w:rFonts w:ascii="Arial" w:cs="Arial" w:eastAsia="Arial" w:hAnsi="Arial"/>
                <w:sz w:val="18"/>
                <w:szCs w:val="18"/>
                <w:color w:val="auto"/>
                <w:w w:val="92"/>
              </w:rPr>
              <w:t>/s/ Philip J. Vickers</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18, 2021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2"/>
              </w:rPr>
              <w:t>Philip J. Vickers, Ph.D.</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0"/>
        </w:trPr>
        <w:tc>
          <w:tcPr>
            <w:tcW w:w="3940" w:type="dxa"/>
            <w:vAlign w:val="bottom"/>
          </w:tcPr>
          <w:p>
            <w:pPr>
              <w:spacing w:after="0"/>
              <w:rPr>
                <w:sz w:val="24"/>
                <w:szCs w:val="24"/>
                <w:color w:val="auto"/>
              </w:rPr>
            </w:pPr>
          </w:p>
        </w:tc>
        <w:tc>
          <w:tcPr>
            <w:tcW w:w="4060" w:type="dxa"/>
            <w:vAlign w:val="bottom"/>
            <w:gridSpan w:val="2"/>
          </w:tcPr>
          <w:p>
            <w:pPr>
              <w:ind w:left="15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b w:val="1"/>
          <w:bCs w:val="1"/>
          <w:color w:val="auto"/>
        </w:rPr>
        <w:t>Exhibit 10.19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AVROBIO,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ind w:right="60" w:firstLine="864"/>
        <w:spacing w:after="0" w:line="238" w:lineRule="auto"/>
        <w:rPr>
          <w:sz w:val="20"/>
          <w:szCs w:val="20"/>
          <w:color w:val="auto"/>
        </w:rPr>
      </w:pPr>
      <w:r>
        <w:rPr>
          <w:rFonts w:ascii="Arial" w:cs="Arial" w:eastAsia="Arial" w:hAnsi="Arial"/>
          <w:sz w:val="22"/>
          <w:szCs w:val="22"/>
          <w:color w:val="auto"/>
        </w:rPr>
        <w:t>This Employment Agreement (“Agreement”) is made as of the 1st day of September, 2018, between AVROBIO, Inc., a Delaware corporation (the “Company”), and Chris Mason (the “Executive”) and is effective as of the closing of the Company’s first underwritten public offering of its equity securities pursuant to an effective registration statement under the Securities Act of 1933, as amended (the “Effective Date”).</w:t>
      </w:r>
    </w:p>
    <w:p>
      <w:pPr>
        <w:spacing w:after="0" w:line="185" w:lineRule="exact"/>
        <w:rPr>
          <w:sz w:val="20"/>
          <w:szCs w:val="20"/>
          <w:color w:val="auto"/>
        </w:rPr>
      </w:pPr>
    </w:p>
    <w:p>
      <w:pPr>
        <w:ind w:right="440" w:firstLine="864"/>
        <w:spacing w:after="0" w:line="250" w:lineRule="auto"/>
        <w:rPr>
          <w:sz w:val="20"/>
          <w:szCs w:val="20"/>
          <w:color w:val="auto"/>
        </w:rPr>
      </w:pPr>
      <w:r>
        <w:rPr>
          <w:rFonts w:ascii="Arial" w:cs="Arial" w:eastAsia="Arial" w:hAnsi="Arial"/>
          <w:sz w:val="22"/>
          <w:szCs w:val="22"/>
          <w:color w:val="auto"/>
        </w:rPr>
        <w:t>WHEREAS, the Company and the Executive are parties to an existing employment agreement, dated November 1, 2016 (the “Prior Agreement”); and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the parties intend to replace the Prior Agreement with this Agreement, effective as of the Effective Date.</w:t>
      </w:r>
    </w:p>
    <w:p>
      <w:pPr>
        <w:spacing w:after="0" w:line="241" w:lineRule="exact"/>
        <w:rPr>
          <w:sz w:val="20"/>
          <w:szCs w:val="20"/>
          <w:color w:val="auto"/>
        </w:rPr>
      </w:pPr>
    </w:p>
    <w:p>
      <w:pPr>
        <w:ind w:right="300" w:firstLine="855"/>
        <w:spacing w:after="0"/>
        <w:rPr>
          <w:sz w:val="20"/>
          <w:szCs w:val="20"/>
          <w:color w:val="auto"/>
        </w:rPr>
      </w:pPr>
      <w:r>
        <w:rPr>
          <w:rFonts w:ascii="Arial" w:cs="Arial" w:eastAsia="Arial" w:hAnsi="Arial"/>
          <w:sz w:val="22"/>
          <w:szCs w:val="22"/>
          <w:color w:val="auto"/>
        </w:rPr>
        <w:t>NOW, THEREFORE, in consideration of the mutual covenants and agreements herein contained and other good and valuable consideration, the receipt and sufficiency of which is hereby acknowledged, the parties agree to restate the Prior Agreement as follows:</w:t>
      </w:r>
    </w:p>
    <w:p>
      <w:pPr>
        <w:spacing w:after="0" w:line="186" w:lineRule="exact"/>
        <w:rPr>
          <w:sz w:val="20"/>
          <w:szCs w:val="20"/>
          <w:color w:val="auto"/>
        </w:rPr>
      </w:pPr>
    </w:p>
    <w:p>
      <w:pPr>
        <w:ind w:left="1680" w:hanging="808"/>
        <w:spacing w:after="0"/>
        <w:tabs>
          <w:tab w:leader="none" w:pos="168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60" w:firstLine="1735"/>
        <w:spacing w:after="0" w:line="238" w:lineRule="auto"/>
        <w:tabs>
          <w:tab w:leader="none" w:pos="2615"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shall commence on the Effective Date and continue until terminated in accordance with the provisions hereof (the “Term”). The Executive’s employment with the Company will continue to be “at will,” meaning that the Executive’s employment may be terminated by the Company or the Executive at any time and for any reason subject to the terms of this Agreement.</w:t>
      </w:r>
    </w:p>
    <w:p>
      <w:pPr>
        <w:spacing w:after="0" w:line="184" w:lineRule="exact"/>
        <w:rPr>
          <w:rFonts w:ascii="Arial" w:cs="Arial" w:eastAsia="Arial" w:hAnsi="Arial"/>
          <w:sz w:val="22"/>
          <w:szCs w:val="22"/>
          <w:color w:val="auto"/>
        </w:rPr>
      </w:pPr>
    </w:p>
    <w:p>
      <w:pPr>
        <w:ind w:right="20" w:firstLine="1735"/>
        <w:spacing w:after="0" w:line="246" w:lineRule="exact"/>
        <w:tabs>
          <w:tab w:leader="none" w:pos="2627"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During the Term, the Executive shall serve as the Chief Science Officer of the Company, and shall have supervision and control over and responsibility for the day</w:t>
      </w:r>
      <w:r>
        <w:rPr>
          <w:rFonts w:ascii="MS PGothic" w:cs="MS PGothic" w:eastAsia="MS PGothic" w:hAnsi="MS PGothic"/>
          <w:sz w:val="19"/>
          <w:szCs w:val="19"/>
          <w:color w:val="auto"/>
        </w:rPr>
        <w:t>‑</w:t>
      </w:r>
      <w:r>
        <w:rPr>
          <w:rFonts w:ascii="Arial" w:cs="Arial" w:eastAsia="Arial" w:hAnsi="Arial"/>
          <w:sz w:val="19"/>
          <w:szCs w:val="19"/>
          <w:color w:val="auto"/>
        </w:rPr>
        <w:t>to</w:t>
      </w:r>
      <w:r>
        <w:rPr>
          <w:rFonts w:ascii="MS PGothic" w:cs="MS PGothic" w:eastAsia="MS PGothic" w:hAnsi="MS PGothic"/>
          <w:sz w:val="19"/>
          <w:szCs w:val="19"/>
          <w:color w:val="auto"/>
        </w:rPr>
        <w:t>‑</w:t>
      </w:r>
      <w:r>
        <w:rPr>
          <w:rFonts w:ascii="Arial" w:cs="Arial" w:eastAsia="Arial" w:hAnsi="Arial"/>
          <w:sz w:val="19"/>
          <w:szCs w:val="19"/>
          <w:color w:val="auto"/>
        </w:rPr>
        <w:t>day business and affairs of the Company and shall have such other powers and duties as may from time to time be prescribed by the Board of Directors of the Company (the “Board”), the Chief Executive Officer of the Company (the “CEO”) or other authorized executive. The Executive shall devote his full working time and efforts to the business and affairs of the Company. Notwithstanding the foregoing, the Executive may serve on other boards of directors, with the approval of the Board, or engage in religious, charitable or other community activities as long as such services and activities are disclosed to the Board and do not materially interfere with the Executive’s performance of his duties to the Company as provided in this Agreement. For the avoidance of doubt, the Executive may continue to serve in the roles set forth on Schedule 1 hereto without the necessity of further approval from the Board, provided that no conflicts result in the future from the Executive’s service in such role.</w:t>
      </w:r>
    </w:p>
    <w:p>
      <w:pPr>
        <w:spacing w:after="0" w:line="188" w:lineRule="exact"/>
        <w:rPr>
          <w:rFonts w:ascii="Arial" w:cs="Arial" w:eastAsia="Arial" w:hAnsi="Arial"/>
          <w:sz w:val="19"/>
          <w:szCs w:val="19"/>
          <w:color w:val="auto"/>
        </w:rPr>
      </w:pPr>
    </w:p>
    <w:p>
      <w:pPr>
        <w:ind w:left="1680" w:hanging="808"/>
        <w:spacing w:after="0"/>
        <w:tabs>
          <w:tab w:leader="none" w:pos="168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840" w:firstLine="1735"/>
        <w:spacing w:after="0"/>
        <w:tabs>
          <w:tab w:leader="none" w:pos="2615"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During the Term, the Executive’s annual base salary shall be $303,850. The Executive’s base salary shall be reviewed annually by the Board or the Compensation Committee of the Board (the “Compensation Committee”). The base salary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0" w:name="page141"/>
    <w:bookmarkEnd w:id="140"/>
    <w:p>
      <w:pPr>
        <w:ind w:right="360"/>
        <w:spacing w:after="0" w:line="250" w:lineRule="auto"/>
        <w:rPr>
          <w:sz w:val="20"/>
          <w:szCs w:val="20"/>
          <w:color w:val="auto"/>
        </w:rPr>
      </w:pPr>
      <w:r>
        <w:rPr>
          <w:rFonts w:ascii="Arial" w:cs="Arial" w:eastAsia="Arial" w:hAnsi="Arial"/>
          <w:sz w:val="22"/>
          <w:szCs w:val="22"/>
          <w:color w:val="auto"/>
        </w:rPr>
        <w:t>effect at any given time is referred to herein as “Base Salary.” The Base Salary shall be payable in a manner that is consistent with the Company’s usual payroll practices for executive officers.</w:t>
      </w:r>
    </w:p>
    <w:p>
      <w:pPr>
        <w:spacing w:after="0" w:line="175" w:lineRule="exact"/>
        <w:rPr>
          <w:sz w:val="20"/>
          <w:szCs w:val="20"/>
          <w:color w:val="auto"/>
        </w:rPr>
      </w:pPr>
    </w:p>
    <w:p>
      <w:pPr>
        <w:ind w:firstLine="1735"/>
        <w:spacing w:after="0" w:line="235" w:lineRule="auto"/>
        <w:tabs>
          <w:tab w:leader="none" w:pos="2627"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Incentive Compensation</w:t>
      </w:r>
      <w:r>
        <w:rPr>
          <w:rFonts w:ascii="Arial" w:cs="Arial" w:eastAsia="Arial" w:hAnsi="Arial"/>
          <w:sz w:val="22"/>
          <w:szCs w:val="22"/>
          <w:color w:val="auto"/>
        </w:rPr>
        <w:t>. During the Term, the Executive shall be eligible to receive cash incentive compensation as determined by the Board or the Compensation Committee from time to time. The Executive’s initial target annual incentive compensation shall be thirty-five percent of his Base Salary effective July 1, 2018 (resulting in a 30 percent effective rate for the 2018 target annual incentive compensation) (as in effect at any time, the “Target Annual Incentive Compensation”). Except as otherwise provided herein, to earn incentive compensation, the Executive must be employed by the Company on the day such incentive compensation is paid.</w:t>
      </w:r>
    </w:p>
    <w:p>
      <w:pPr>
        <w:spacing w:after="0" w:line="187" w:lineRule="exact"/>
        <w:rPr>
          <w:rFonts w:ascii="Arial" w:cs="Arial" w:eastAsia="Arial" w:hAnsi="Arial"/>
          <w:sz w:val="22"/>
          <w:szCs w:val="22"/>
          <w:color w:val="auto"/>
        </w:rPr>
      </w:pPr>
    </w:p>
    <w:p>
      <w:pPr>
        <w:ind w:right="180" w:firstLine="1735"/>
        <w:spacing w:after="0"/>
        <w:tabs>
          <w:tab w:leader="none" w:pos="2615"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Executive shall be entitled to receive prompt reimbursement for all reasonable expenses incurred by his during the Term in performing services hereunder, in accordance with the policies and procedures then in effect and established by the Company for its senior officers.</w:t>
      </w:r>
    </w:p>
    <w:p>
      <w:pPr>
        <w:spacing w:after="0" w:line="186" w:lineRule="exact"/>
        <w:rPr>
          <w:rFonts w:ascii="Arial" w:cs="Arial" w:eastAsia="Arial" w:hAnsi="Arial"/>
          <w:sz w:val="22"/>
          <w:szCs w:val="22"/>
          <w:color w:val="auto"/>
        </w:rPr>
      </w:pPr>
    </w:p>
    <w:p>
      <w:pPr>
        <w:ind w:right="700" w:firstLine="1735"/>
        <w:spacing w:after="0" w:line="276" w:lineRule="auto"/>
        <w:tabs>
          <w:tab w:leader="none" w:pos="2627"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Other Benefits</w:t>
      </w:r>
      <w:r>
        <w:rPr>
          <w:rFonts w:ascii="Arial" w:cs="Arial" w:eastAsia="Arial" w:hAnsi="Arial"/>
          <w:sz w:val="19"/>
          <w:szCs w:val="19"/>
          <w:color w:val="auto"/>
        </w:rPr>
        <w:t>. During the Term, the Executive shall be eligible to participate in or receive benefits under the Company’s employee benefit plans in effect from time to time, subject to the terms of such</w:t>
      </w:r>
    </w:p>
    <w:p>
      <w:pPr>
        <w:spacing w:after="0" w:line="1" w:lineRule="exact"/>
        <w:rPr>
          <w:rFonts w:ascii="Arial" w:cs="Arial" w:eastAsia="Arial" w:hAnsi="Arial"/>
          <w:sz w:val="19"/>
          <w:szCs w:val="19"/>
          <w:color w:val="auto"/>
        </w:rPr>
      </w:pPr>
    </w:p>
    <w:p>
      <w:pPr>
        <w:ind w:right="640"/>
        <w:spacing w:after="0" w:line="236" w:lineRule="auto"/>
        <w:rPr>
          <w:rFonts w:ascii="Arial" w:cs="Arial" w:eastAsia="Arial" w:hAnsi="Arial"/>
          <w:sz w:val="19"/>
          <w:szCs w:val="19"/>
          <w:color w:val="auto"/>
        </w:rPr>
      </w:pPr>
      <w:r>
        <w:rPr>
          <w:rFonts w:ascii="Arial" w:cs="Arial" w:eastAsia="Arial" w:hAnsi="Arial"/>
          <w:sz w:val="22"/>
          <w:szCs w:val="22"/>
          <w:color w:val="auto"/>
        </w:rPr>
        <w:t>plans. Additionally, during the Term, the Executive shall be eligible to receive such benefits and perquisites as those made available to the other employees of the Company generally.</w:t>
      </w:r>
    </w:p>
    <w:p>
      <w:pPr>
        <w:spacing w:after="0" w:line="186" w:lineRule="exact"/>
        <w:rPr>
          <w:rFonts w:ascii="Arial" w:cs="Arial" w:eastAsia="Arial" w:hAnsi="Arial"/>
          <w:sz w:val="19"/>
          <w:szCs w:val="19"/>
          <w:color w:val="auto"/>
        </w:rPr>
      </w:pPr>
    </w:p>
    <w:p>
      <w:pPr>
        <w:ind w:right="20" w:firstLine="1735"/>
        <w:spacing w:after="0" w:line="257" w:lineRule="auto"/>
        <w:tabs>
          <w:tab w:leader="none" w:pos="2615"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Vacations</w:t>
      </w:r>
      <w:r>
        <w:rPr>
          <w:rFonts w:ascii="Arial" w:cs="Arial" w:eastAsia="Arial" w:hAnsi="Arial"/>
          <w:sz w:val="21"/>
          <w:szCs w:val="21"/>
          <w:color w:val="auto"/>
        </w:rPr>
        <w:t>. During the Term, the Executive shall be entitled to paid vacation in accordance with the Company’s policies and procedures, which shall be a minimum of 20 days in addition to the Company’s paid holidays. The Executive shall also be entitled to all paid holidays given by the Company to its executive officers.</w:t>
      </w:r>
    </w:p>
    <w:p>
      <w:pPr>
        <w:spacing w:after="0" w:line="169" w:lineRule="exact"/>
        <w:rPr>
          <w:rFonts w:ascii="Arial" w:cs="Arial" w:eastAsia="Arial" w:hAnsi="Arial"/>
          <w:sz w:val="21"/>
          <w:szCs w:val="21"/>
          <w:color w:val="auto"/>
        </w:rPr>
      </w:pPr>
    </w:p>
    <w:p>
      <w:pPr>
        <w:ind w:right="60" w:firstLine="872"/>
        <w:spacing w:after="0" w:line="250" w:lineRule="auto"/>
        <w:tabs>
          <w:tab w:leader="none" w:pos="1674"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During the Term, the Executive’s employment hereunder may be terminated without any breach of this Agreement under the following circumstances:</w:t>
      </w:r>
    </w:p>
    <w:p>
      <w:pPr>
        <w:spacing w:after="0" w:line="174" w:lineRule="exact"/>
        <w:rPr>
          <w:rFonts w:ascii="Arial" w:cs="Arial" w:eastAsia="Arial" w:hAnsi="Arial"/>
          <w:sz w:val="22"/>
          <w:szCs w:val="22"/>
          <w:color w:val="auto"/>
        </w:rPr>
      </w:pPr>
    </w:p>
    <w:p>
      <w:pPr>
        <w:ind w:left="2620" w:hanging="885"/>
        <w:spacing w:after="0"/>
        <w:tabs>
          <w:tab w:leader="none" w:pos="2620"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The Executive’s employment hereunder shall terminate upon his death.</w:t>
      </w:r>
    </w:p>
    <w:p>
      <w:pPr>
        <w:spacing w:after="0" w:line="206" w:lineRule="exact"/>
        <w:rPr>
          <w:rFonts w:ascii="Arial" w:cs="Arial" w:eastAsia="Arial" w:hAnsi="Arial"/>
          <w:sz w:val="22"/>
          <w:szCs w:val="22"/>
          <w:color w:val="auto"/>
        </w:rPr>
      </w:pPr>
    </w:p>
    <w:p>
      <w:pPr>
        <w:ind w:right="120" w:firstLine="1735"/>
        <w:spacing w:after="0" w:line="273" w:lineRule="auto"/>
        <w:tabs>
          <w:tab w:leader="none" w:pos="2627"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the Executive’s employment if 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1" w:name="page142"/>
    <w:bookmarkEnd w:id="141"/>
    <w:p>
      <w:pPr>
        <w:jc w:val="both"/>
        <w:ind w:right="60"/>
        <w:spacing w:after="0" w:line="257" w:lineRule="auto"/>
        <w:rPr>
          <w:sz w:val="20"/>
          <w:szCs w:val="20"/>
          <w:color w:val="auto"/>
        </w:rPr>
      </w:pPr>
      <w:r>
        <w:rPr>
          <w:rFonts w:ascii="Arial" w:cs="Arial" w:eastAsia="Arial" w:hAnsi="Arial"/>
          <w:sz w:val="21"/>
          <w:szCs w:val="21"/>
          <w:color w:val="auto"/>
        </w:rPr>
        <w:t xml:space="preserve">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and the Americans with Disabilities Act, 42 U.S.C. §12101 </w:t>
      </w:r>
      <w:r>
        <w:rPr>
          <w:rFonts w:ascii="Arial" w:cs="Arial" w:eastAsia="Arial" w:hAnsi="Arial"/>
          <w:sz w:val="21"/>
          <w:szCs w:val="21"/>
          <w:i w:val="1"/>
          <w:iCs w:val="1"/>
          <w:color w:val="auto"/>
        </w:rPr>
        <w:t>et seq.</w:t>
      </w:r>
    </w:p>
    <w:p>
      <w:pPr>
        <w:spacing w:after="0" w:line="169" w:lineRule="exact"/>
        <w:rPr>
          <w:sz w:val="20"/>
          <w:szCs w:val="20"/>
          <w:color w:val="auto"/>
        </w:rPr>
      </w:pPr>
    </w:p>
    <w:p>
      <w:pPr>
        <w:ind w:right="100" w:firstLine="1735"/>
        <w:spacing w:after="0" w:line="271" w:lineRule="auto"/>
        <w:tabs>
          <w:tab w:leader="none" w:pos="2615"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material deceit or dishonesty, or fraud, or any conduct by the Executive that would reasonably be expected to result in material injury or reputational harm to the Company or any of its subsidiaries or affiliates if he were retained in his position; (iii) continued non-performance by the Executive of his duties hereunder (other than by reason of the Executive’s physical or mental illness, incapacity or disability) which has continued for more than 30 days following written notice (with a reasonably detailed summary of such alleged non-performance specified) of such non-performance from the Company’s CEO or the Executive’s direct supervisor; (iv) a breach by the Executive of any of the provisions incorporated into or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right="80" w:firstLine="1735"/>
        <w:spacing w:after="0" w:line="238" w:lineRule="auto"/>
        <w:tabs>
          <w:tab w:leader="none" w:pos="2627"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84" w:lineRule="exact"/>
        <w:rPr>
          <w:rFonts w:ascii="Arial" w:cs="Arial" w:eastAsia="Arial" w:hAnsi="Arial"/>
          <w:sz w:val="22"/>
          <w:szCs w:val="22"/>
          <w:color w:val="auto"/>
        </w:rPr>
      </w:pPr>
    </w:p>
    <w:p>
      <w:pPr>
        <w:ind w:firstLine="1735"/>
        <w:spacing w:after="0" w:line="244" w:lineRule="auto"/>
        <w:tabs>
          <w:tab w:leader="none" w:pos="2615"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Termination by the Executive</w:t>
      </w:r>
      <w:r>
        <w:rPr>
          <w:rFonts w:ascii="Arial" w:cs="Arial" w:eastAsia="Arial" w:hAnsi="Arial"/>
          <w:sz w:val="21"/>
          <w:szCs w:val="21"/>
          <w:color w:val="auto"/>
        </w:rPr>
        <w:t>. The Executive may terminate his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(i) a material diminution in the Executive’s responsibilities, authority or duties; (ii) a material diminution in the Executive’s Base Salary except for across-the-board salary reductions based on the Company’s financial performance similarly affecting all or substantially all senior management employees of the Company; (iii) a material change in the geographic location at which the Executive provides services to the Company; or (iv) a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42" w:name="page143"/>
    <w:bookmarkEnd w:id="142"/>
    <w:p>
      <w:pPr>
        <w:spacing w:after="0" w:line="257" w:lineRule="auto"/>
        <w:rPr>
          <w:sz w:val="20"/>
          <w:szCs w:val="20"/>
          <w:color w:val="auto"/>
        </w:rPr>
      </w:pPr>
      <w:r>
        <w:rPr>
          <w:rFonts w:ascii="Arial" w:cs="Arial" w:eastAsia="Arial" w:hAnsi="Arial"/>
          <w:sz w:val="21"/>
          <w:szCs w:val="21"/>
          <w:color w:val="auto"/>
        </w:rPr>
        <w:t>(the “Cure Period”), to remedy the condition; (iv) notwithstanding such efforts, the Good Reason condition continues to exist; and (v) the Executive terminates his employment within 60 days after the end of the Cure Period. If the Company cures the Good Reason condition during the Cure Period, Good Reason shall be deemed not to have occurred.</w:t>
      </w:r>
    </w:p>
    <w:p>
      <w:pPr>
        <w:spacing w:after="0" w:line="169" w:lineRule="exact"/>
        <w:rPr>
          <w:sz w:val="20"/>
          <w:szCs w:val="20"/>
          <w:color w:val="auto"/>
        </w:rPr>
      </w:pPr>
    </w:p>
    <w:p>
      <w:pPr>
        <w:jc w:val="both"/>
        <w:ind w:right="20" w:firstLine="1735"/>
        <w:spacing w:after="0" w:line="252" w:lineRule="auto"/>
        <w:tabs>
          <w:tab w:leader="none" w:pos="2591" w:val="left"/>
        </w:tabs>
        <w:numPr>
          <w:ilvl w:val="2"/>
          <w:numId w:val="77"/>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73" w:lineRule="exact"/>
        <w:rPr>
          <w:rFonts w:ascii="Arial" w:cs="Arial" w:eastAsia="Arial" w:hAnsi="Arial"/>
          <w:sz w:val="21"/>
          <w:szCs w:val="21"/>
          <w:color w:val="auto"/>
        </w:rPr>
      </w:pPr>
    </w:p>
    <w:p>
      <w:pPr>
        <w:ind w:right="220" w:firstLine="1735"/>
        <w:spacing w:after="0" w:line="271" w:lineRule="auto"/>
        <w:tabs>
          <w:tab w:leader="none" w:pos="2627" w:val="left"/>
        </w:tabs>
        <w:numPr>
          <w:ilvl w:val="2"/>
          <w:numId w:val="77"/>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w:t>
      </w:r>
    </w:p>
    <w:p>
      <w:pPr>
        <w:spacing w:after="0" w:line="3" w:lineRule="exact"/>
        <w:rPr>
          <w:rFonts w:ascii="Arial" w:cs="Arial" w:eastAsia="Arial" w:hAnsi="Arial"/>
          <w:sz w:val="19"/>
          <w:szCs w:val="19"/>
          <w:color w:val="auto"/>
        </w:rPr>
      </w:pPr>
    </w:p>
    <w:p>
      <w:pPr>
        <w:ind w:right="400" w:firstLine="8"/>
        <w:spacing w:after="0" w:line="266" w:lineRule="auto"/>
        <w:tabs>
          <w:tab w:leader="none" w:pos="366" w:val="left"/>
        </w:tabs>
        <w:numPr>
          <w:ilvl w:val="0"/>
          <w:numId w:val="78"/>
        </w:numPr>
        <w:rPr>
          <w:rFonts w:ascii="Arial" w:cs="Arial" w:eastAsia="Arial" w:hAnsi="Arial"/>
          <w:sz w:val="19"/>
          <w:szCs w:val="19"/>
          <w:color w:val="auto"/>
        </w:rPr>
      </w:pPr>
      <w:r>
        <w:rPr>
          <w:rFonts w:ascii="Arial" w:cs="Arial" w:eastAsia="Arial" w:hAnsi="Arial"/>
          <w:sz w:val="19"/>
          <w:szCs w:val="19"/>
          <w:color w:val="auto"/>
        </w:rPr>
        <w:t>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w:t>
      </w:r>
    </w:p>
    <w:p>
      <w:pPr>
        <w:spacing w:after="0" w:line="2" w:lineRule="exact"/>
        <w:rPr>
          <w:rFonts w:ascii="Arial" w:cs="Arial" w:eastAsia="Arial" w:hAnsi="Arial"/>
          <w:sz w:val="19"/>
          <w:szCs w:val="19"/>
          <w:color w:val="auto"/>
        </w:rPr>
      </w:pPr>
    </w:p>
    <w:p>
      <w:pPr>
        <w:jc w:val="both"/>
        <w:ind w:right="640"/>
        <w:spacing w:after="0" w:line="234" w:lineRule="auto"/>
        <w:rPr>
          <w:rFonts w:ascii="Arial" w:cs="Arial" w:eastAsia="Arial" w:hAnsi="Arial"/>
          <w:sz w:val="19"/>
          <w:szCs w:val="19"/>
          <w:color w:val="auto"/>
        </w:rPr>
      </w:pPr>
      <w:r>
        <w:rPr>
          <w:rFonts w:ascii="Arial" w:cs="Arial" w:eastAsia="Arial" w:hAnsi="Arial"/>
          <w:sz w:val="22"/>
          <w:szCs w:val="22"/>
          <w:color w:val="auto"/>
        </w:rPr>
        <w:t>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7" w:lineRule="exact"/>
        <w:rPr>
          <w:rFonts w:ascii="Arial" w:cs="Arial" w:eastAsia="Arial" w:hAnsi="Arial"/>
          <w:sz w:val="19"/>
          <w:szCs w:val="19"/>
          <w:color w:val="auto"/>
        </w:rPr>
      </w:pPr>
    </w:p>
    <w:p>
      <w:pPr>
        <w:ind w:left="1680" w:hanging="808"/>
        <w:spacing w:after="0"/>
        <w:tabs>
          <w:tab w:leader="none" w:pos="1680"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735"/>
        <w:spacing w:after="0" w:line="277" w:lineRule="auto"/>
        <w:tabs>
          <w:tab w:leader="none" w:pos="2615" w:val="left"/>
        </w:tabs>
        <w:numPr>
          <w:ilvl w:val="2"/>
          <w:numId w:val="78"/>
        </w:numPr>
        <w:rPr>
          <w:rFonts w:ascii="Arial" w:cs="Arial" w:eastAsia="Arial" w:hAnsi="Arial"/>
          <w:sz w:val="19"/>
          <w:szCs w:val="19"/>
          <w:color w:val="auto"/>
        </w:rPr>
      </w:pPr>
      <w:r>
        <w:rPr>
          <w:rFonts w:ascii="Arial" w:cs="Arial" w:eastAsia="Arial" w:hAnsi="Arial"/>
          <w:sz w:val="19"/>
          <w:szCs w:val="19"/>
          <w:u w:val="single" w:color="auto"/>
          <w:color w:val="auto"/>
        </w:rPr>
        <w:t>Termination Generally</w:t>
      </w:r>
      <w:r>
        <w:rPr>
          <w:rFonts w:ascii="Arial" w:cs="Arial" w:eastAsia="Arial" w:hAnsi="Arial"/>
          <w:sz w:val="19"/>
          <w:szCs w:val="19"/>
          <w:color w:val="auto"/>
        </w:rPr>
        <w:t>. If the Executive’s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51" w:lineRule="exact"/>
        <w:rPr>
          <w:rFonts w:ascii="Arial" w:cs="Arial" w:eastAsia="Arial" w:hAnsi="Arial"/>
          <w:sz w:val="19"/>
          <w:szCs w:val="19"/>
          <w:color w:val="auto"/>
        </w:rPr>
      </w:pPr>
    </w:p>
    <w:p>
      <w:pPr>
        <w:ind w:right="140" w:firstLine="1735"/>
        <w:spacing w:after="0" w:line="277" w:lineRule="auto"/>
        <w:tabs>
          <w:tab w:leader="none" w:pos="2627" w:val="left"/>
        </w:tabs>
        <w:numPr>
          <w:ilvl w:val="2"/>
          <w:numId w:val="78"/>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the Executive with Good Reason</w:t>
      </w:r>
      <w:r>
        <w:rPr>
          <w:rFonts w:ascii="Arial" w:cs="Arial" w:eastAsia="Arial" w:hAnsi="Arial"/>
          <w:sz w:val="19"/>
          <w:szCs w:val="19"/>
          <w:color w:val="auto"/>
        </w:rPr>
        <w:t>. During the Term, if the Executive’s employment is terminated by the Company without Cause as provided in Section 3(d), or the Executive terminates his employment for Good Reason as provided in Section 3(e), then the Company shall pay the Executive his Accrued Benefit. In addition, subject to the Executive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irrevocable and fully effective and, if applicable, the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3" w:name="page144"/>
    <w:bookmarkEnd w:id="143"/>
    <w:p>
      <w:pPr>
        <w:ind w:right="80"/>
        <w:spacing w:after="0" w:line="250" w:lineRule="auto"/>
        <w:rPr>
          <w:sz w:val="20"/>
          <w:szCs w:val="20"/>
          <w:color w:val="auto"/>
        </w:rPr>
      </w:pPr>
      <w:r>
        <w:rPr>
          <w:rFonts w:ascii="Arial" w:cs="Arial" w:eastAsia="Arial" w:hAnsi="Arial"/>
          <w:sz w:val="22"/>
          <w:szCs w:val="22"/>
          <w:color w:val="auto"/>
        </w:rPr>
        <w:t>Executive resigning as a member of the Board of Directors, all within 60 days after the Date of Termination (or such shorter time period provided in the Separation Agreement and Release):</w:t>
      </w:r>
    </w:p>
    <w:p>
      <w:pPr>
        <w:spacing w:after="0" w:line="175" w:lineRule="exact"/>
        <w:rPr>
          <w:sz w:val="20"/>
          <w:szCs w:val="20"/>
          <w:color w:val="auto"/>
        </w:rPr>
      </w:pPr>
    </w:p>
    <w:p>
      <w:pPr>
        <w:ind w:left="880" w:right="280" w:firstLine="1586"/>
        <w:spacing w:after="0" w:line="238" w:lineRule="auto"/>
        <w:tabs>
          <w:tab w:leader="none" w:pos="3326"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Company shall pay the Executive an amount equal to 0.75 times the sum of the Executive’s Base Salary (the “Severance Amount”). Notwithstanding the foregoing, if the Executive breaches any of the provisions incorporated into or contained in Section 7 of this Agreement, all payments of the Severance Amount shall immediately cease;</w:t>
      </w:r>
    </w:p>
    <w:p>
      <w:pPr>
        <w:spacing w:after="0" w:line="184" w:lineRule="exact"/>
        <w:rPr>
          <w:rFonts w:ascii="Arial" w:cs="Arial" w:eastAsia="Arial" w:hAnsi="Arial"/>
          <w:sz w:val="22"/>
          <w:szCs w:val="22"/>
          <w:color w:val="auto"/>
        </w:rPr>
      </w:pPr>
    </w:p>
    <w:p>
      <w:pPr>
        <w:ind w:left="880" w:right="60" w:firstLine="1586"/>
        <w:spacing w:after="0" w:line="236" w:lineRule="auto"/>
        <w:tabs>
          <w:tab w:leader="none" w:pos="3386" w:val="left"/>
        </w:tabs>
        <w:numPr>
          <w:ilvl w:val="1"/>
          <w:numId w:val="79"/>
        </w:numPr>
        <w:rPr>
          <w:rFonts w:ascii="Arial" w:cs="Arial" w:eastAsia="Arial" w:hAnsi="Arial"/>
          <w:sz w:val="22"/>
          <w:szCs w:val="22"/>
          <w:color w:val="auto"/>
        </w:rPr>
      </w:pPr>
      <w:r>
        <w:rPr>
          <w:rFonts w:ascii="Arial" w:cs="Arial" w:eastAsia="Arial" w:hAnsi="Arial"/>
          <w:sz w:val="22"/>
          <w:szCs w:val="22"/>
          <w:color w:val="auto"/>
        </w:rPr>
        <w:t>notwithstanding anything to the contrary in any applicable option agreement or stock-based award agreement, all time-based stock options and other time-based stock-based awards held by the Executive in which such stock option or other stock-based award would have vested if the Executive had remained employed for an additional nine months following the Date of Termination shall vest and become exercisable or nonforfeitable as of the Date of Termination;</w:t>
      </w:r>
    </w:p>
    <w:p>
      <w:pPr>
        <w:spacing w:after="0" w:line="187" w:lineRule="exact"/>
        <w:rPr>
          <w:rFonts w:ascii="Arial" w:cs="Arial" w:eastAsia="Arial" w:hAnsi="Arial"/>
          <w:sz w:val="22"/>
          <w:szCs w:val="22"/>
          <w:color w:val="auto"/>
        </w:rPr>
      </w:pPr>
    </w:p>
    <w:p>
      <w:pPr>
        <w:ind w:left="880" w:right="140" w:firstLine="1586"/>
        <w:spacing w:after="0" w:line="282" w:lineRule="auto"/>
        <w:tabs>
          <w:tab w:leader="none" w:pos="3446" w:val="left"/>
        </w:tabs>
        <w:numPr>
          <w:ilvl w:val="1"/>
          <w:numId w:val="79"/>
        </w:numPr>
        <w:rPr>
          <w:rFonts w:ascii="Arial" w:cs="Arial" w:eastAsia="Arial" w:hAnsi="Arial"/>
          <w:sz w:val="19"/>
          <w:szCs w:val="19"/>
          <w:color w:val="auto"/>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 nine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47" w:lineRule="exact"/>
        <w:rPr>
          <w:rFonts w:ascii="Arial" w:cs="Arial" w:eastAsia="Arial" w:hAnsi="Arial"/>
          <w:sz w:val="19"/>
          <w:szCs w:val="19"/>
          <w:color w:val="auto"/>
        </w:rPr>
      </w:pPr>
    </w:p>
    <w:p>
      <w:pPr>
        <w:ind w:left="880" w:firstLine="1586"/>
        <w:spacing w:after="0" w:line="277" w:lineRule="auto"/>
        <w:tabs>
          <w:tab w:leader="none" w:pos="3434"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amounts payable under Section 4(b)(i) and (iii) shall be paid out in substantially equal installments in accordance with the Company’s payroll practice over nine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51" w:lineRule="exact"/>
        <w:rPr>
          <w:rFonts w:ascii="Arial" w:cs="Arial" w:eastAsia="Arial" w:hAnsi="Arial"/>
          <w:sz w:val="19"/>
          <w:szCs w:val="19"/>
          <w:color w:val="auto"/>
        </w:rPr>
      </w:pPr>
    </w:p>
    <w:p>
      <w:pPr>
        <w:ind w:right="100" w:firstLine="872"/>
        <w:spacing w:after="0" w:line="274" w:lineRule="auto"/>
        <w:tabs>
          <w:tab w:leader="none" w:pos="1674"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Change in Control Payment</w:t>
      </w:r>
      <w:r>
        <w:rPr>
          <w:rFonts w:ascii="Arial" w:cs="Arial" w:eastAsia="Arial" w:hAnsi="Arial"/>
          <w:sz w:val="19"/>
          <w:szCs w:val="19"/>
          <w:color w:val="auto"/>
        </w:rPr>
        <w:t>. The provisions of this Section 5 set forth certain terms of an agreement reached between the Executive and the Company regarding the Executive’s rights and obligations upon the occurrence of a Change in Control of the Company. In the event of a Change in Control during the Term, all time-based stock options and other time based stock-based awards held by the Executive as of the Effective Date that were granted to the Executive at least 12 months prior to the Effective Date shall immediately accelerate and become fully exercisable or nonforfeitable as of immediately prior to such Change in Control.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4(b) regarding severance pay and benefits upon a termination of employment, if such termination of employment occurs within three months prior to or 18</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4" w:name="page145"/>
    <w:bookmarkEnd w:id="144"/>
    <w:p>
      <w:pPr>
        <w:ind w:right="400"/>
        <w:spacing w:after="0" w:line="250" w:lineRule="auto"/>
        <w:rPr>
          <w:sz w:val="20"/>
          <w:szCs w:val="20"/>
          <w:color w:val="auto"/>
        </w:rPr>
      </w:pPr>
      <w:r>
        <w:rPr>
          <w:rFonts w:ascii="Arial" w:cs="Arial" w:eastAsia="Arial" w:hAnsi="Arial"/>
          <w:sz w:val="22"/>
          <w:szCs w:val="22"/>
          <w:color w:val="auto"/>
        </w:rPr>
        <w:t>months after the occurrence of the first event constituting a Change in Control. These provisions shall terminate and be of no further force or effect beginning 18 months after the occurrence of a Change in Control.</w:t>
      </w:r>
    </w:p>
    <w:p>
      <w:pPr>
        <w:spacing w:after="0" w:line="175" w:lineRule="exact"/>
        <w:rPr>
          <w:sz w:val="20"/>
          <w:szCs w:val="20"/>
          <w:color w:val="auto"/>
        </w:rPr>
      </w:pPr>
    </w:p>
    <w:p>
      <w:pPr>
        <w:ind w:firstLine="1735"/>
        <w:spacing w:after="0" w:line="248" w:lineRule="auto"/>
        <w:tabs>
          <w:tab w:leader="none" w:pos="2615"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During the Term, if within three months prior to or 18 months after a Change in Control, the Executive’s employment is terminated by the Company without Cause as provided in Section 3(d) or the Executive terminates his employment for Good Reason as provided in Section 3(e), then, subject to the signing of the Separation Agreement and Release by the Executive and the Separation Agreement and Release becoming irrevocable and fully effective and, if applicable, the Executive resigning as a member of the Board of Directors, all within 60 days after the Date of Termination (or such shorter time period provided in the Separation Agreement and Release):</w:t>
      </w:r>
    </w:p>
    <w:p>
      <w:pPr>
        <w:spacing w:after="0" w:line="176" w:lineRule="exact"/>
        <w:rPr>
          <w:rFonts w:ascii="Arial" w:cs="Arial" w:eastAsia="Arial" w:hAnsi="Arial"/>
          <w:sz w:val="21"/>
          <w:szCs w:val="21"/>
          <w:color w:val="auto"/>
        </w:rPr>
      </w:pPr>
    </w:p>
    <w:p>
      <w:pPr>
        <w:ind w:left="880" w:right="160" w:firstLine="1586"/>
        <w:spacing w:after="0" w:line="297" w:lineRule="auto"/>
        <w:tabs>
          <w:tab w:leader="none" w:pos="3326"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Company shall pay the Executive a lump sum in cash in an amount equal to one times the sum of (A) the Executive’s current Base Salary (or the Executive’s Base Salary in effect immediately prior to the Change in Control, if higher) and (B) the Executive’s Target Annual Incentive Compensation then in effect;</w:t>
      </w:r>
    </w:p>
    <w:p>
      <w:pPr>
        <w:spacing w:after="0" w:line="133" w:lineRule="exact"/>
        <w:rPr>
          <w:rFonts w:ascii="Arial" w:cs="Arial" w:eastAsia="Arial" w:hAnsi="Arial"/>
          <w:sz w:val="19"/>
          <w:szCs w:val="19"/>
          <w:color w:val="auto"/>
        </w:rPr>
      </w:pPr>
    </w:p>
    <w:p>
      <w:pPr>
        <w:ind w:left="880" w:right="280" w:firstLine="1586"/>
        <w:spacing w:after="0" w:line="297" w:lineRule="auto"/>
        <w:tabs>
          <w:tab w:leader="none" w:pos="3386" w:val="left"/>
        </w:tabs>
        <w:numPr>
          <w:ilvl w:val="1"/>
          <w:numId w:val="81"/>
        </w:numPr>
        <w:rPr>
          <w:rFonts w:ascii="Arial" w:cs="Arial" w:eastAsia="Arial" w:hAnsi="Arial"/>
          <w:sz w:val="19"/>
          <w:szCs w:val="19"/>
          <w:color w:val="auto"/>
        </w:rPr>
      </w:pPr>
      <w:r>
        <w:rPr>
          <w:rFonts w:ascii="Arial" w:cs="Arial" w:eastAsia="Arial" w:hAnsi="Arial"/>
          <w:sz w:val="19"/>
          <w:szCs w:val="19"/>
          <w:color w:val="auto"/>
        </w:rPr>
        <w:t>notwithstanding anything to the contrary in any applicable option agreement or stock-based award agreement, all time-based stock options and other time-based stock-based awards held by the Executive shall immediately accelerate and become fully exercisable or nonforfeitable as of the Date of Termination;</w:t>
      </w:r>
    </w:p>
    <w:p>
      <w:pPr>
        <w:spacing w:after="0" w:line="133" w:lineRule="exact"/>
        <w:rPr>
          <w:rFonts w:ascii="Arial" w:cs="Arial" w:eastAsia="Arial" w:hAnsi="Arial"/>
          <w:sz w:val="19"/>
          <w:szCs w:val="19"/>
          <w:color w:val="auto"/>
        </w:rPr>
      </w:pPr>
    </w:p>
    <w:p>
      <w:pPr>
        <w:ind w:left="880" w:right="80" w:firstLine="1586"/>
        <w:spacing w:after="0" w:line="282" w:lineRule="auto"/>
        <w:tabs>
          <w:tab w:leader="none" w:pos="3446" w:val="left"/>
        </w:tabs>
        <w:numPr>
          <w:ilvl w:val="1"/>
          <w:numId w:val="81"/>
        </w:numPr>
        <w:rPr>
          <w:rFonts w:ascii="Arial" w:cs="Arial" w:eastAsia="Arial" w:hAnsi="Arial"/>
          <w:sz w:val="19"/>
          <w:szCs w:val="19"/>
          <w:color w:val="auto"/>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 twelve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47" w:lineRule="exact"/>
        <w:rPr>
          <w:rFonts w:ascii="Arial" w:cs="Arial" w:eastAsia="Arial" w:hAnsi="Arial"/>
          <w:sz w:val="19"/>
          <w:szCs w:val="19"/>
          <w:color w:val="auto"/>
        </w:rPr>
      </w:pPr>
    </w:p>
    <w:p>
      <w:pPr>
        <w:ind w:left="880" w:right="100" w:firstLine="1586"/>
        <w:spacing w:after="0" w:line="238" w:lineRule="auto"/>
        <w:tabs>
          <w:tab w:leader="none" w:pos="3434"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amounts payable under Section 5(a)(i) and (iii)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4" w:lineRule="exact"/>
        <w:rPr>
          <w:rFonts w:ascii="Arial" w:cs="Arial" w:eastAsia="Arial" w:hAnsi="Arial"/>
          <w:sz w:val="22"/>
          <w:szCs w:val="22"/>
          <w:color w:val="auto"/>
        </w:rPr>
      </w:pPr>
    </w:p>
    <w:p>
      <w:pPr>
        <w:ind w:left="2640" w:hanging="905"/>
        <w:spacing w:after="0"/>
        <w:tabs>
          <w:tab w:leader="none" w:pos="264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Additional Limitation.</w:t>
      </w:r>
    </w:p>
    <w:p>
      <w:pPr>
        <w:spacing w:after="0" w:line="206" w:lineRule="exact"/>
        <w:rPr>
          <w:rFonts w:ascii="Arial" w:cs="Arial" w:eastAsia="Arial" w:hAnsi="Arial"/>
          <w:sz w:val="22"/>
          <w:szCs w:val="22"/>
          <w:color w:val="auto"/>
        </w:rPr>
      </w:pPr>
    </w:p>
    <w:p>
      <w:pPr>
        <w:ind w:left="880" w:right="120" w:firstLine="1586"/>
        <w:spacing w:after="0" w:line="234" w:lineRule="auto"/>
        <w:tabs>
          <w:tab w:leader="none" w:pos="3326" w:val="left"/>
        </w:tabs>
        <w:numPr>
          <w:ilvl w:val="1"/>
          <w:numId w:val="81"/>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5" w:name="page146"/>
    <w:bookmarkEnd w:id="145"/>
    <w:p>
      <w:pPr>
        <w:ind w:right="40"/>
        <w:spacing w:after="0" w:line="273" w:lineRule="auto"/>
        <w:rPr>
          <w:sz w:val="20"/>
          <w:szCs w:val="20"/>
          <w:color w:val="auto"/>
        </w:rPr>
      </w:pPr>
      <w:r>
        <w:rPr>
          <w:rFonts w:ascii="Arial" w:cs="Arial" w:eastAsia="Arial" w:hAnsi="Arial"/>
          <w:sz w:val="19"/>
          <w:szCs w:val="19"/>
          <w:color w:val="auto"/>
        </w:rPr>
        <w:t>$1.00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61" w:lineRule="exact"/>
        <w:rPr>
          <w:sz w:val="20"/>
          <w:szCs w:val="20"/>
          <w:color w:val="auto"/>
        </w:rPr>
      </w:pPr>
    </w:p>
    <w:p>
      <w:pPr>
        <w:ind w:firstLine="1586"/>
        <w:spacing w:after="0" w:line="277" w:lineRule="auto"/>
        <w:tabs>
          <w:tab w:leader="none" w:pos="2506" w:val="left"/>
        </w:tabs>
        <w:numPr>
          <w:ilvl w:val="1"/>
          <w:numId w:val="82"/>
        </w:numPr>
        <w:rPr>
          <w:rFonts w:ascii="Arial" w:cs="Arial" w:eastAsia="Arial" w:hAnsi="Arial"/>
          <w:sz w:val="19"/>
          <w:szCs w:val="19"/>
          <w:color w:val="auto"/>
        </w:rPr>
      </w:pPr>
      <w:r>
        <w:rPr>
          <w:rFonts w:ascii="Arial" w:cs="Arial" w:eastAsia="Arial" w:hAnsi="Arial"/>
          <w:sz w:val="19"/>
          <w:szCs w:val="19"/>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1" w:lineRule="exact"/>
        <w:rPr>
          <w:rFonts w:ascii="Arial" w:cs="Arial" w:eastAsia="Arial" w:hAnsi="Arial"/>
          <w:sz w:val="19"/>
          <w:szCs w:val="19"/>
          <w:color w:val="auto"/>
        </w:rPr>
      </w:pPr>
    </w:p>
    <w:p>
      <w:pPr>
        <w:ind w:firstLine="1586"/>
        <w:spacing w:after="0" w:line="235" w:lineRule="auto"/>
        <w:tabs>
          <w:tab w:leader="none" w:pos="2566"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7" w:lineRule="exact"/>
        <w:rPr>
          <w:rFonts w:ascii="Arial" w:cs="Arial" w:eastAsia="Arial" w:hAnsi="Arial"/>
          <w:sz w:val="22"/>
          <w:szCs w:val="22"/>
          <w:color w:val="auto"/>
        </w:rPr>
      </w:pPr>
    </w:p>
    <w:p>
      <w:pPr>
        <w:ind w:firstLine="855"/>
        <w:spacing w:after="0" w:line="435" w:lineRule="auto"/>
        <w:tabs>
          <w:tab w:leader="none" w:pos="1751"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Section 5, the following terms shall have the following meanings: “Change in Control” shall mean any of the following:</w:t>
      </w:r>
    </w:p>
    <w:p>
      <w:pPr>
        <w:ind w:right="100" w:firstLine="1586"/>
        <w:spacing w:after="0" w:line="277" w:lineRule="auto"/>
        <w:tabs>
          <w:tab w:leader="none" w:pos="2446" w:val="left"/>
        </w:tabs>
        <w:numPr>
          <w:ilvl w:val="1"/>
          <w:numId w:val="83"/>
        </w:numPr>
        <w:rPr>
          <w:rFonts w:ascii="Arial" w:cs="Arial" w:eastAsia="Arial" w:hAnsi="Arial"/>
          <w:sz w:val="19"/>
          <w:szCs w:val="19"/>
          <w:color w:val="auto"/>
        </w:rPr>
      </w:pPr>
      <w:r>
        <w:rPr>
          <w:rFonts w:ascii="Arial" w:cs="Arial" w:eastAsia="Arial" w:hAnsi="Arial"/>
          <w:sz w:val="19"/>
          <w:szCs w:val="19"/>
          <w:color w:val="auto"/>
        </w:rPr>
        <w:t>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(“Voting</w:t>
      </w:r>
    </w:p>
    <w:p>
      <w:pPr>
        <w:spacing w:after="0" w:line="368"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40"/>
          </w:cols>
          <w:pgMar w:left="1200" w:top="334" w:right="359" w:bottom="1440" w:gutter="0" w:footer="0" w:header="0"/>
        </w:sectPr>
      </w:pPr>
    </w:p>
    <w:bookmarkStart w:id="146" w:name="page147"/>
    <w:bookmarkEnd w:id="146"/>
    <w:p>
      <w:pPr>
        <w:jc w:val="center"/>
        <w:ind w:right="40"/>
        <w:spacing w:after="0"/>
        <w:rPr>
          <w:sz w:val="20"/>
          <w:szCs w:val="20"/>
          <w:color w:val="auto"/>
        </w:rPr>
      </w:pPr>
      <w:r>
        <w:rPr>
          <w:rFonts w:ascii="Arial" w:cs="Arial" w:eastAsia="Arial" w:hAnsi="Arial"/>
          <w:sz w:val="22"/>
          <w:szCs w:val="22"/>
          <w:color w:val="auto"/>
        </w:rPr>
        <w:t>Securities”) (in such case other than as a result of an acquisition of securities directly from the Company); or</w:t>
      </w:r>
    </w:p>
    <w:p>
      <w:pPr>
        <w:spacing w:after="0" w:line="206" w:lineRule="exact"/>
        <w:rPr>
          <w:sz w:val="20"/>
          <w:szCs w:val="20"/>
          <w:color w:val="auto"/>
        </w:rPr>
      </w:pPr>
    </w:p>
    <w:p>
      <w:pPr>
        <w:jc w:val="both"/>
        <w:ind w:left="880" w:right="120" w:firstLine="1586"/>
        <w:spacing w:after="0"/>
        <w:tabs>
          <w:tab w:leader="none" w:pos="3386"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date a majority of the members of the Board is replaced during any 12-month period by directors whose appointment or election is not endorsed by a majority of the members of the Board before the date of the appointment or election; or</w:t>
      </w:r>
    </w:p>
    <w:p>
      <w:pPr>
        <w:spacing w:after="0" w:line="186" w:lineRule="exact"/>
        <w:rPr>
          <w:rFonts w:ascii="Arial" w:cs="Arial" w:eastAsia="Arial" w:hAnsi="Arial"/>
          <w:sz w:val="22"/>
          <w:szCs w:val="22"/>
          <w:color w:val="auto"/>
        </w:rPr>
      </w:pPr>
    </w:p>
    <w:p>
      <w:pPr>
        <w:ind w:left="880" w:right="100" w:firstLine="1586"/>
        <w:spacing w:after="0" w:line="246" w:lineRule="auto"/>
        <w:tabs>
          <w:tab w:leader="none" w:pos="3446"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pacing w:after="0" w:line="184" w:lineRule="exact"/>
        <w:rPr>
          <w:sz w:val="20"/>
          <w:szCs w:val="20"/>
          <w:color w:val="auto"/>
        </w:rPr>
      </w:pPr>
    </w:p>
    <w:p>
      <w:pPr>
        <w:ind w:firstLine="864"/>
        <w:spacing w:after="0" w:line="245" w:lineRule="auto"/>
        <w:rPr>
          <w:sz w:val="20"/>
          <w:szCs w:val="20"/>
          <w:color w:val="auto"/>
        </w:rPr>
      </w:pPr>
      <w:r>
        <w:rPr>
          <w:rFonts w:ascii="Arial" w:cs="Arial" w:eastAsia="Arial" w:hAnsi="Arial"/>
          <w:sz w:val="21"/>
          <w:szCs w:val="21"/>
          <w:color w:val="auto"/>
        </w:rPr>
        <w:t>Notwithstanding the foregoing, a “Change in Control” shall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shall be deemed to have occurred for purposes of the foregoing clause (i).</w:t>
      </w:r>
    </w:p>
    <w:p>
      <w:pPr>
        <w:spacing w:after="0" w:line="184" w:lineRule="exact"/>
        <w:rPr>
          <w:sz w:val="20"/>
          <w:szCs w:val="20"/>
          <w:color w:val="auto"/>
        </w:rPr>
      </w:pPr>
    </w:p>
    <w:p>
      <w:pPr>
        <w:ind w:left="1680" w:hanging="808"/>
        <w:spacing w:after="0"/>
        <w:tabs>
          <w:tab w:leader="none" w:pos="168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735"/>
        <w:spacing w:after="0" w:line="273" w:lineRule="auto"/>
        <w:tabs>
          <w:tab w:leader="none" w:pos="2615" w:val="left"/>
        </w:tabs>
        <w:numPr>
          <w:ilvl w:val="1"/>
          <w:numId w:val="85"/>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147" w:name="page148"/>
    <w:bookmarkEnd w:id="147"/>
    <w:p>
      <w:pPr>
        <w:ind w:right="100" w:firstLine="1735"/>
        <w:spacing w:after="0" w:line="277" w:lineRule="auto"/>
        <w:tabs>
          <w:tab w:leader="none" w:pos="2627" w:val="left"/>
        </w:tabs>
        <w:numPr>
          <w:ilvl w:val="1"/>
          <w:numId w:val="86"/>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1" w:lineRule="exact"/>
        <w:rPr>
          <w:rFonts w:ascii="Arial" w:cs="Arial" w:eastAsia="Arial" w:hAnsi="Arial"/>
          <w:sz w:val="19"/>
          <w:szCs w:val="19"/>
          <w:color w:val="auto"/>
        </w:rPr>
      </w:pPr>
    </w:p>
    <w:p>
      <w:pPr>
        <w:ind w:right="80" w:firstLine="1735"/>
        <w:spacing w:after="0" w:line="249" w:lineRule="exact"/>
        <w:tabs>
          <w:tab w:leader="none" w:pos="2615" w:val="left"/>
        </w:tabs>
        <w:numPr>
          <w:ilvl w:val="1"/>
          <w:numId w:val="86"/>
        </w:numPr>
        <w:rPr>
          <w:rFonts w:ascii="Arial" w:cs="Arial" w:eastAsia="Arial" w:hAnsi="Arial"/>
          <w:sz w:val="21"/>
          <w:szCs w:val="21"/>
          <w:color w:val="auto"/>
        </w:rPr>
      </w:pPr>
      <w:r>
        <w:rPr>
          <w:rFonts w:ascii="Arial" w:cs="Arial" w:eastAsia="Arial" w:hAnsi="Arial"/>
          <w:sz w:val="21"/>
          <w:szCs w:val="21"/>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1"/>
          <w:szCs w:val="21"/>
          <w:color w:val="auto"/>
        </w:rPr>
        <w:t>‑</w:t>
      </w:r>
      <w:r>
        <w:rPr>
          <w:rFonts w:ascii="Arial" w:cs="Arial" w:eastAsia="Arial" w:hAnsi="Arial"/>
          <w:sz w:val="21"/>
          <w:szCs w:val="21"/>
          <w:color w:val="auto"/>
        </w:rPr>
        <w:t>1(h).</w:t>
      </w:r>
    </w:p>
    <w:p>
      <w:pPr>
        <w:spacing w:after="0" w:line="188" w:lineRule="exact"/>
        <w:rPr>
          <w:rFonts w:ascii="Arial" w:cs="Arial" w:eastAsia="Arial" w:hAnsi="Arial"/>
          <w:sz w:val="21"/>
          <w:szCs w:val="21"/>
          <w:color w:val="auto"/>
        </w:rPr>
      </w:pPr>
    </w:p>
    <w:p>
      <w:pPr>
        <w:ind w:right="160" w:firstLine="1735"/>
        <w:spacing w:after="0" w:line="271" w:lineRule="auto"/>
        <w:tabs>
          <w:tab w:leader="none" w:pos="2627"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w:t>
      </w:r>
    </w:p>
    <w:p>
      <w:pPr>
        <w:spacing w:after="0" w:line="3" w:lineRule="exact"/>
        <w:rPr>
          <w:rFonts w:ascii="Arial" w:cs="Arial" w:eastAsia="Arial" w:hAnsi="Arial"/>
          <w:sz w:val="19"/>
          <w:szCs w:val="19"/>
          <w:color w:val="auto"/>
        </w:rPr>
      </w:pPr>
    </w:p>
    <w:p>
      <w:pPr>
        <w:jc w:val="both"/>
        <w:ind w:right="140"/>
        <w:spacing w:after="0" w:line="247" w:lineRule="exact"/>
        <w:rPr>
          <w:rFonts w:ascii="Arial" w:cs="Arial" w:eastAsia="Arial" w:hAnsi="Arial"/>
          <w:sz w:val="19"/>
          <w:szCs w:val="19"/>
          <w:color w:val="auto"/>
        </w:rPr>
      </w:pPr>
      <w:r>
        <w:rPr>
          <w:rFonts w:ascii="Arial" w:cs="Arial" w:eastAsia="Arial" w:hAnsi="Arial"/>
          <w:sz w:val="22"/>
          <w:szCs w:val="22"/>
          <w:color w:val="auto"/>
        </w:rPr>
        <w:t>1.409A</w:t>
      </w:r>
      <w:r>
        <w:rPr>
          <w:rFonts w:ascii="MS PGothic" w:cs="MS PGothic" w:eastAsia="MS PGothic" w:hAnsi="MS PGothic"/>
          <w:sz w:val="22"/>
          <w:szCs w:val="22"/>
          <w:color w:val="auto"/>
        </w:rPr>
        <w:t>‑</w:t>
      </w:r>
      <w:r>
        <w:rPr>
          <w:rFonts w:ascii="Arial" w:cs="Arial" w:eastAsia="Arial" w:hAnsi="Arial"/>
          <w:sz w:val="22"/>
          <w:szCs w:val="22"/>
          <w:color w:val="auto"/>
        </w:rPr>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7" w:lineRule="exact"/>
        <w:rPr>
          <w:rFonts w:ascii="Arial" w:cs="Arial" w:eastAsia="Arial" w:hAnsi="Arial"/>
          <w:sz w:val="19"/>
          <w:szCs w:val="19"/>
          <w:color w:val="auto"/>
        </w:rPr>
      </w:pPr>
    </w:p>
    <w:p>
      <w:pPr>
        <w:ind w:right="20" w:firstLine="1735"/>
        <w:spacing w:after="0" w:line="257" w:lineRule="auto"/>
        <w:tabs>
          <w:tab w:leader="none" w:pos="2615" w:val="left"/>
        </w:tabs>
        <w:numPr>
          <w:ilvl w:val="1"/>
          <w:numId w:val="86"/>
        </w:numPr>
        <w:rPr>
          <w:rFonts w:ascii="Arial" w:cs="Arial" w:eastAsia="Arial" w:hAnsi="Arial"/>
          <w:sz w:val="21"/>
          <w:szCs w:val="21"/>
          <w:color w:val="auto"/>
        </w:rPr>
      </w:pPr>
      <w:r>
        <w:rPr>
          <w:rFonts w:ascii="Arial" w:cs="Arial" w:eastAsia="Arial" w:hAnsi="Arial"/>
          <w:sz w:val="21"/>
          <w:szCs w:val="21"/>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69" w:lineRule="exact"/>
        <w:rPr>
          <w:rFonts w:ascii="Arial" w:cs="Arial" w:eastAsia="Arial" w:hAnsi="Arial"/>
          <w:sz w:val="21"/>
          <w:szCs w:val="21"/>
          <w:color w:val="auto"/>
        </w:rPr>
      </w:pPr>
    </w:p>
    <w:p>
      <w:pPr>
        <w:ind w:left="1680" w:hanging="808"/>
        <w:spacing w:after="0"/>
        <w:tabs>
          <w:tab w:leader="none" w:pos="168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Noncompetition and Cooperation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00" w:firstLine="1735"/>
        <w:spacing w:after="0" w:line="238" w:lineRule="auto"/>
        <w:tabs>
          <w:tab w:leader="none" w:pos="2615" w:val="left"/>
        </w:tabs>
        <w:numPr>
          <w:ilvl w:val="1"/>
          <w:numId w:val="87"/>
        </w:numPr>
        <w:rPr>
          <w:rFonts w:ascii="Arial" w:cs="Arial" w:eastAsia="Arial" w:hAnsi="Arial"/>
          <w:sz w:val="22"/>
          <w:szCs w:val="22"/>
          <w:color w:val="auto"/>
        </w:rPr>
      </w:pPr>
      <w:r>
        <w:rPr>
          <w:rFonts w:ascii="Arial" w:cs="Arial" w:eastAsia="Arial" w:hAnsi="Arial"/>
          <w:sz w:val="22"/>
          <w:szCs w:val="22"/>
          <w:color w:val="auto"/>
        </w:rPr>
        <w:t xml:space="preserve">The terms of the Confidentiality and IP Assignment Agreement (the “Restricted Covenants Agreement”), between the Company and the Executive,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shall continue to be in full force and effect and are incorporated by reference in this Agreement. The Executive hereby reaffirms the terms of the Restrictive Covenant Agreement as material terms of this Agreement.</w:t>
      </w:r>
    </w:p>
    <w:p>
      <w:pPr>
        <w:spacing w:after="0" w:line="184" w:lineRule="exact"/>
        <w:rPr>
          <w:rFonts w:ascii="Arial" w:cs="Arial" w:eastAsia="Arial" w:hAnsi="Arial"/>
          <w:sz w:val="22"/>
          <w:szCs w:val="22"/>
          <w:color w:val="auto"/>
        </w:rPr>
      </w:pPr>
    </w:p>
    <w:p>
      <w:pPr>
        <w:ind w:firstLine="1735"/>
        <w:spacing w:after="0" w:line="252" w:lineRule="auto"/>
        <w:tabs>
          <w:tab w:leader="none" w:pos="2627" w:val="left"/>
        </w:tabs>
        <w:numPr>
          <w:ilvl w:val="1"/>
          <w:numId w:val="87"/>
        </w:numPr>
        <w:rPr>
          <w:rFonts w:ascii="Arial" w:cs="Arial" w:eastAsia="Arial" w:hAnsi="Arial"/>
          <w:sz w:val="21"/>
          <w:szCs w:val="21"/>
          <w:color w:val="auto"/>
        </w:rPr>
      </w:pPr>
      <w:r>
        <w:rPr>
          <w:rFonts w:ascii="Arial" w:cs="Arial" w:eastAsia="Arial" w:hAnsi="Arial"/>
          <w:sz w:val="21"/>
          <w:szCs w:val="21"/>
          <w:u w:val="single" w:color="auto"/>
          <w:color w:val="auto"/>
        </w:rPr>
        <w:t>Third-Party Agreements and Rights</w:t>
      </w:r>
      <w:r>
        <w:rPr>
          <w:rFonts w:ascii="Arial" w:cs="Arial" w:eastAsia="Arial" w:hAnsi="Arial"/>
          <w:sz w:val="21"/>
          <w:szCs w:val="21"/>
          <w:color w:val="auto"/>
        </w:rPr>
        <w:t>.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48" w:name="page149"/>
    <w:bookmarkEnd w:id="148"/>
    <w:p>
      <w:pPr>
        <w:spacing w:after="0" w:line="249" w:lineRule="auto"/>
        <w:rPr>
          <w:sz w:val="20"/>
          <w:szCs w:val="20"/>
          <w:color w:val="auto"/>
        </w:rPr>
      </w:pPr>
      <w:r>
        <w:rPr>
          <w:rFonts w:ascii="Arial" w:cs="Arial" w:eastAsia="Arial" w:hAnsi="Arial"/>
          <w:sz w:val="21"/>
          <w:szCs w:val="21"/>
          <w:color w:val="auto"/>
        </w:rPr>
        <w:t>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78" w:lineRule="exact"/>
        <w:rPr>
          <w:sz w:val="20"/>
          <w:szCs w:val="20"/>
          <w:color w:val="auto"/>
        </w:rPr>
      </w:pPr>
    </w:p>
    <w:p>
      <w:pPr>
        <w:ind w:right="80" w:firstLine="1735"/>
        <w:spacing w:after="0" w:line="246" w:lineRule="exact"/>
        <w:tabs>
          <w:tab w:leader="none" w:pos="2615"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Litigation and Regulatory Cooperation</w:t>
      </w:r>
      <w:r>
        <w:rPr>
          <w:rFonts w:ascii="Arial" w:cs="Arial" w:eastAsia="Arial" w:hAnsi="Arial"/>
          <w:sz w:val="19"/>
          <w:szCs w:val="19"/>
          <w:color w:val="auto"/>
        </w:rPr>
        <w:t>.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taking into consideration Executive’s then current business and personal commitments.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in connection with the Executive’s performance of obligations pursuant to this Section 7(c).</w:t>
      </w:r>
    </w:p>
    <w:p>
      <w:pPr>
        <w:spacing w:after="0" w:line="185" w:lineRule="exact"/>
        <w:rPr>
          <w:rFonts w:ascii="Arial" w:cs="Arial" w:eastAsia="Arial" w:hAnsi="Arial"/>
          <w:sz w:val="19"/>
          <w:szCs w:val="19"/>
          <w:color w:val="auto"/>
        </w:rPr>
      </w:pPr>
    </w:p>
    <w:p>
      <w:pPr>
        <w:ind w:right="80" w:firstLine="1735"/>
        <w:spacing w:after="0" w:line="273" w:lineRule="auto"/>
        <w:tabs>
          <w:tab w:leader="none" w:pos="2627"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Relief</w:t>
      </w:r>
      <w:r>
        <w:rPr>
          <w:rFonts w:ascii="Arial" w:cs="Arial" w:eastAsia="Arial" w:hAnsi="Arial"/>
          <w:sz w:val="19"/>
          <w:szCs w:val="19"/>
          <w:color w:val="auto"/>
        </w:rPr>
        <w:t>. The Executive agrees that it would be difficult to measure any damages caused to the Company which might result from any breach by the Executive of the promises incorporated into or set forth in this Section 7, and that in any event money damages would be an inadequate remedy for any such breach. Accordingly, subject to Section 8 of this Agreement, the Executive agrees that if the Executive breaches, or proposes to breach, any portion of this Agreement, the Company shall be entitled, in addition to all other remedies that it may have, to an injunction or other appropriate equitable relief to restrain any such breach without showing or proving any actual damage to the Company. In addition, in the event the Executive breaches this Section 7 or the provisions incorporated herein during a period when he is receiving severance payments pursuant to Section 4 or Section 5 hereof, the Company shall have the right to suspend or terminate such severance payments. Such suspension or termination shall not limit the Company’s other options with respect to relief for such breach and shall not relieve the Executive of his duties under this Agreement.</w:t>
      </w:r>
    </w:p>
    <w:p>
      <w:pPr>
        <w:spacing w:after="0" w:line="160" w:lineRule="exact"/>
        <w:rPr>
          <w:rFonts w:ascii="Arial" w:cs="Arial" w:eastAsia="Arial" w:hAnsi="Arial"/>
          <w:sz w:val="19"/>
          <w:szCs w:val="19"/>
          <w:color w:val="auto"/>
        </w:rPr>
      </w:pPr>
    </w:p>
    <w:p>
      <w:pPr>
        <w:ind w:right="80" w:firstLine="1735"/>
        <w:spacing w:after="0"/>
        <w:tabs>
          <w:tab w:leader="none" w:pos="2615"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Protected Disclosures and Other Protected Action</w:t>
      </w:r>
      <w:r>
        <w:rPr>
          <w:rFonts w:ascii="Arial" w:cs="Arial" w:eastAsia="Arial" w:hAnsi="Arial"/>
          <w:sz w:val="22"/>
          <w:szCs w:val="22"/>
          <w:color w:val="auto"/>
        </w:rPr>
        <w:t>. Nothing contained in this Agreement limits the Executive’s ability to communicate with any federal, state or local governmental agency or commission, including to provide documents or other information, without notice to the Company.</w:t>
      </w:r>
    </w:p>
    <w:p>
      <w:pPr>
        <w:spacing w:after="0" w:line="186" w:lineRule="exact"/>
        <w:rPr>
          <w:rFonts w:ascii="Arial" w:cs="Arial" w:eastAsia="Arial" w:hAnsi="Arial"/>
          <w:sz w:val="22"/>
          <w:szCs w:val="22"/>
          <w:color w:val="auto"/>
        </w:rPr>
      </w:pPr>
    </w:p>
    <w:p>
      <w:pPr>
        <w:ind w:right="260" w:firstLine="872"/>
        <w:spacing w:after="0" w:line="287" w:lineRule="auto"/>
        <w:tabs>
          <w:tab w:leader="none" w:pos="1674"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Arbitration of Disputes</w:t>
      </w:r>
      <w:r>
        <w:rPr>
          <w:rFonts w:ascii="Arial" w:cs="Arial" w:eastAsia="Arial" w:hAnsi="Arial"/>
          <w:sz w:val="19"/>
          <w:szCs w:val="19"/>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9" w:name="page150"/>
    <w:bookmarkEnd w:id="149"/>
    <w:p>
      <w:pPr>
        <w:ind w:right="100"/>
        <w:spacing w:after="0" w:line="245" w:lineRule="auto"/>
        <w:rPr>
          <w:sz w:val="20"/>
          <w:szCs w:val="20"/>
          <w:color w:val="auto"/>
        </w:rPr>
      </w:pPr>
      <w:r>
        <w:rPr>
          <w:rFonts w:ascii="Arial" w:cs="Arial" w:eastAsia="Arial" w:hAnsi="Arial"/>
          <w:sz w:val="21"/>
          <w:szCs w:val="21"/>
          <w:color w:val="auto"/>
        </w:rPr>
        <w:t>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84" w:lineRule="exact"/>
        <w:rPr>
          <w:sz w:val="20"/>
          <w:szCs w:val="20"/>
          <w:color w:val="auto"/>
        </w:rPr>
      </w:pPr>
    </w:p>
    <w:p>
      <w:pPr>
        <w:ind w:firstLine="872"/>
        <w:spacing w:after="0" w:line="282" w:lineRule="auto"/>
        <w:tabs>
          <w:tab w:leader="none" w:pos="1674"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Consent to Jurisdiction</w:t>
      </w:r>
      <w:r>
        <w:rPr>
          <w:rFonts w:ascii="Arial" w:cs="Arial" w:eastAsia="Arial" w:hAnsi="Arial"/>
          <w:sz w:val="19"/>
          <w:szCs w:val="19"/>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47" w:lineRule="exact"/>
        <w:rPr>
          <w:rFonts w:ascii="Arial" w:cs="Arial" w:eastAsia="Arial" w:hAnsi="Arial"/>
          <w:sz w:val="19"/>
          <w:szCs w:val="19"/>
          <w:color w:val="auto"/>
        </w:rPr>
      </w:pPr>
    </w:p>
    <w:p>
      <w:pPr>
        <w:ind w:right="260" w:firstLine="872"/>
        <w:spacing w:after="0"/>
        <w:tabs>
          <w:tab w:leader="none" w:pos="1782"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Restrictive Covenant Agreement constitute the entire agreement between the parties with respect to the subject matter hereof and supersede all prior agreements between the parties concerning such subject matter, including the Prior Agreement.</w:t>
      </w:r>
    </w:p>
    <w:p>
      <w:pPr>
        <w:spacing w:after="0" w:line="186" w:lineRule="exact"/>
        <w:rPr>
          <w:rFonts w:ascii="Arial" w:cs="Arial" w:eastAsia="Arial" w:hAnsi="Arial"/>
          <w:sz w:val="22"/>
          <w:szCs w:val="22"/>
          <w:color w:val="auto"/>
        </w:rPr>
      </w:pPr>
    </w:p>
    <w:p>
      <w:pPr>
        <w:ind w:right="40" w:firstLine="872"/>
        <w:spacing w:after="0" w:line="250" w:lineRule="auto"/>
        <w:tabs>
          <w:tab w:leader="none" w:pos="1774"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by the Company to the Executive under this Agreement shall be net of any tax or other amounts required to be withheld by the Company under applicable law.</w:t>
      </w:r>
    </w:p>
    <w:p>
      <w:pPr>
        <w:spacing w:after="0" w:line="174" w:lineRule="exact"/>
        <w:rPr>
          <w:rFonts w:ascii="Arial" w:cs="Arial" w:eastAsia="Arial" w:hAnsi="Arial"/>
          <w:sz w:val="22"/>
          <w:szCs w:val="22"/>
          <w:color w:val="auto"/>
        </w:rPr>
      </w:pPr>
    </w:p>
    <w:p>
      <w:pPr>
        <w:ind w:right="400" w:firstLine="872"/>
        <w:spacing w:after="0" w:line="282" w:lineRule="auto"/>
        <w:tabs>
          <w:tab w:leader="none" w:pos="1782"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Successor to the Executive</w:t>
      </w:r>
      <w:r>
        <w:rPr>
          <w:rFonts w:ascii="Arial" w:cs="Arial" w:eastAsia="Arial" w:hAnsi="Arial"/>
          <w:sz w:val="19"/>
          <w:szCs w:val="19"/>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to his under this Agreement, the Company shall continue such payments to the Executive’s beneficiary designated in writing to the Company prior to his death (or to his estate, if the Executive fails to make such designation).</w:t>
      </w:r>
    </w:p>
    <w:p>
      <w:pPr>
        <w:spacing w:after="0" w:line="147" w:lineRule="exact"/>
        <w:rPr>
          <w:rFonts w:ascii="Arial" w:cs="Arial" w:eastAsia="Arial" w:hAnsi="Arial"/>
          <w:sz w:val="19"/>
          <w:szCs w:val="19"/>
          <w:color w:val="auto"/>
        </w:rPr>
      </w:pPr>
    </w:p>
    <w:p>
      <w:pPr>
        <w:ind w:right="220" w:firstLine="872"/>
        <w:spacing w:after="0" w:line="249" w:lineRule="auto"/>
        <w:tabs>
          <w:tab w:leader="none" w:pos="1782"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Enforceability</w:t>
      </w:r>
      <w:r>
        <w:rPr>
          <w:rFonts w:ascii="Arial" w:cs="Arial" w:eastAsia="Arial" w:hAnsi="Arial"/>
          <w:sz w:val="21"/>
          <w:szCs w:val="21"/>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0" w:name="page151"/>
    <w:bookmarkEnd w:id="150"/>
    <w:p>
      <w:pPr>
        <w:ind w:left="-20" w:right="600" w:firstLine="872"/>
        <w:spacing w:after="0" w:line="328" w:lineRule="auto"/>
        <w:tabs>
          <w:tab w:leader="none" w:pos="1762"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The provisions of this Agreement shall survive the termination of this Agreement and/or the termination of the Executive’s employment to the extent necessary to effectuate the terms contained herein.</w:t>
      </w:r>
    </w:p>
    <w:p>
      <w:pPr>
        <w:spacing w:after="0" w:line="104" w:lineRule="exact"/>
        <w:rPr>
          <w:rFonts w:ascii="Arial" w:cs="Arial" w:eastAsia="Arial" w:hAnsi="Arial"/>
          <w:sz w:val="19"/>
          <w:szCs w:val="19"/>
          <w:color w:val="auto"/>
        </w:rPr>
      </w:pPr>
    </w:p>
    <w:p>
      <w:pPr>
        <w:ind w:left="-20" w:firstLine="872"/>
        <w:spacing w:after="0" w:line="238" w:lineRule="auto"/>
        <w:tabs>
          <w:tab w:leader="none" w:pos="1762"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4" w:lineRule="exact"/>
        <w:rPr>
          <w:rFonts w:ascii="Arial" w:cs="Arial" w:eastAsia="Arial" w:hAnsi="Arial"/>
          <w:sz w:val="22"/>
          <w:szCs w:val="22"/>
          <w:color w:val="auto"/>
        </w:rPr>
      </w:pPr>
    </w:p>
    <w:p>
      <w:pPr>
        <w:ind w:left="-20" w:right="60" w:firstLine="872"/>
        <w:spacing w:after="0" w:line="252" w:lineRule="auto"/>
        <w:tabs>
          <w:tab w:leader="none" w:pos="1762"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3" w:lineRule="exact"/>
        <w:rPr>
          <w:rFonts w:ascii="Arial" w:cs="Arial" w:eastAsia="Arial" w:hAnsi="Arial"/>
          <w:sz w:val="21"/>
          <w:szCs w:val="21"/>
          <w:color w:val="auto"/>
        </w:rPr>
      </w:pPr>
    </w:p>
    <w:p>
      <w:pPr>
        <w:ind w:left="-20" w:right="540" w:firstLine="872"/>
        <w:spacing w:after="0" w:line="250" w:lineRule="auto"/>
        <w:tabs>
          <w:tab w:leader="none" w:pos="1762"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or modified only by a written instrument signed by the Executive and by a duly authorized representative of the Company.</w:t>
      </w:r>
    </w:p>
    <w:p>
      <w:pPr>
        <w:spacing w:after="0" w:line="174" w:lineRule="exact"/>
        <w:rPr>
          <w:rFonts w:ascii="Arial" w:cs="Arial" w:eastAsia="Arial" w:hAnsi="Arial"/>
          <w:sz w:val="22"/>
          <w:szCs w:val="22"/>
          <w:color w:val="auto"/>
        </w:rPr>
      </w:pPr>
    </w:p>
    <w:p>
      <w:pPr>
        <w:ind w:left="-20" w:right="500" w:firstLine="872"/>
        <w:spacing w:after="0" w:line="328" w:lineRule="auto"/>
        <w:tabs>
          <w:tab w:leader="none" w:pos="1762"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is a Massachusetts contract and shall be construed under and be governed in all respects by the laws of the Commonwealth of Massachusetts, without giving effect to the conflict of laws principles thereof.</w:t>
      </w:r>
    </w:p>
    <w:p>
      <w:pPr>
        <w:spacing w:after="0" w:line="104" w:lineRule="exact"/>
        <w:rPr>
          <w:rFonts w:ascii="Arial" w:cs="Arial" w:eastAsia="Arial" w:hAnsi="Arial"/>
          <w:sz w:val="19"/>
          <w:szCs w:val="19"/>
          <w:color w:val="auto"/>
        </w:rPr>
      </w:pPr>
    </w:p>
    <w:p>
      <w:pPr>
        <w:ind w:left="-20" w:right="520" w:firstLine="872"/>
        <w:spacing w:after="0"/>
        <w:tabs>
          <w:tab w:leader="none" w:pos="1762"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86" w:lineRule="exact"/>
        <w:rPr>
          <w:rFonts w:ascii="Arial" w:cs="Arial" w:eastAsia="Arial" w:hAnsi="Arial"/>
          <w:sz w:val="22"/>
          <w:szCs w:val="22"/>
          <w:color w:val="auto"/>
        </w:rPr>
      </w:pPr>
    </w:p>
    <w:p>
      <w:pPr>
        <w:ind w:left="-20" w:right="100" w:firstLine="872"/>
        <w:spacing w:after="0" w:line="236" w:lineRule="auto"/>
        <w:tabs>
          <w:tab w:leader="none" w:pos="1762"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Successor to Company</w:t>
      </w:r>
      <w:r>
        <w:rPr>
          <w:rFonts w:ascii="Arial" w:cs="Arial" w:eastAsia="Arial" w:hAnsi="Arial"/>
          <w:sz w:val="22"/>
          <w:szCs w:val="22"/>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87" w:lineRule="exact"/>
        <w:rPr>
          <w:rFonts w:ascii="Arial" w:cs="Arial" w:eastAsia="Arial" w:hAnsi="Arial"/>
          <w:sz w:val="22"/>
          <w:szCs w:val="22"/>
          <w:color w:val="auto"/>
        </w:rPr>
      </w:pPr>
    </w:p>
    <w:p>
      <w:pPr>
        <w:ind w:left="-20" w:right="200" w:firstLine="872"/>
        <w:spacing w:after="0" w:line="250" w:lineRule="auto"/>
        <w:tabs>
          <w:tab w:leader="none" w:pos="1762"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Gender Neutral</w:t>
      </w:r>
      <w:r>
        <w:rPr>
          <w:rFonts w:ascii="Arial" w:cs="Arial" w:eastAsia="Arial" w:hAnsi="Arial"/>
          <w:sz w:val="22"/>
          <w:szCs w:val="22"/>
          <w:color w:val="auto"/>
        </w:rPr>
        <w:t>. Wherever used herein, a pronoun in the masculine or feminine gender shall be considered as including the opposite gender as well unless the context clearly indicates otherwise.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sectPr>
      </w:pPr>
    </w:p>
    <w:bookmarkStart w:id="151" w:name="page152"/>
    <w:bookmarkEnd w:id="151"/>
    <w:p>
      <w:pPr>
        <w:spacing w:after="0"/>
        <w:rPr>
          <w:sz w:val="20"/>
          <w:szCs w:val="20"/>
          <w:color w:val="auto"/>
        </w:rPr>
      </w:pPr>
      <w:r>
        <w:rPr>
          <w:rFonts w:ascii="Arial" w:cs="Arial" w:eastAsia="Arial" w:hAnsi="Arial"/>
          <w:sz w:val="19"/>
          <w:szCs w:val="19"/>
          <w:color w:val="auto"/>
        </w:rPr>
        <w:t>IN WITNESS WHEREOF, the parties have executed this Agreement effective on the date and year first above written.</w:t>
      </w:r>
    </w:p>
    <w:p>
      <w:pPr>
        <w:spacing w:after="0" w:line="235"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AVROBIO, INC.</w:t>
      </w:r>
    </w:p>
    <w:p>
      <w:pPr>
        <w:spacing w:after="0" w:line="200" w:lineRule="exact"/>
        <w:rPr>
          <w:sz w:val="20"/>
          <w:szCs w:val="20"/>
          <w:color w:val="auto"/>
        </w:rPr>
      </w:pPr>
    </w:p>
    <w:p>
      <w:pPr>
        <w:spacing w:after="0" w:line="228" w:lineRule="exact"/>
        <w:rPr>
          <w:sz w:val="20"/>
          <w:szCs w:val="20"/>
          <w:color w:val="auto"/>
        </w:rPr>
      </w:pPr>
    </w:p>
    <w:tbl>
      <w:tblPr>
        <w:tblLayout w:type="fixed"/>
        <w:tblInd w:w="474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Geoff MacKay</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40" w:type="dxa"/>
            <w:vAlign w:val="bottom"/>
          </w:tcPr>
          <w:p>
            <w:pPr>
              <w:spacing w:after="0" w:line="216" w:lineRule="exact"/>
              <w:rPr>
                <w:sz w:val="20"/>
                <w:szCs w:val="20"/>
                <w:color w:val="auto"/>
              </w:rPr>
            </w:pPr>
            <w:r>
              <w:rPr>
                <w:rFonts w:ascii="Arial" w:cs="Arial" w:eastAsia="Arial" w:hAnsi="Arial"/>
                <w:sz w:val="22"/>
                <w:szCs w:val="22"/>
                <w:color w:val="auto"/>
              </w:rPr>
              <w:t>Geoff MacKay</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4840" w:type="dxa"/>
            <w:vAlign w:val="bottom"/>
          </w:tcPr>
          <w:p>
            <w:pPr>
              <w:spacing w:after="0"/>
              <w:rPr>
                <w:sz w:val="20"/>
                <w:szCs w:val="20"/>
                <w:color w:val="auto"/>
              </w:rPr>
            </w:pPr>
            <w:r>
              <w:rPr>
                <w:rFonts w:ascii="Arial" w:cs="Arial" w:eastAsia="Arial" w:hAnsi="Arial"/>
                <w:sz w:val="22"/>
                <w:szCs w:val="22"/>
                <w:color w:val="auto"/>
              </w:rPr>
              <w:t>Chief Executive Officer</w:t>
            </w:r>
          </w:p>
        </w:tc>
      </w:tr>
    </w:tbl>
    <w:p>
      <w:pPr>
        <w:spacing w:after="0" w:line="179" w:lineRule="exact"/>
        <w:rPr>
          <w:sz w:val="20"/>
          <w:szCs w:val="20"/>
          <w:color w:val="auto"/>
        </w:rPr>
      </w:pPr>
    </w:p>
    <w:p>
      <w:pPr>
        <w:jc w:val="center"/>
        <w:ind w:left="128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2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/s/ Christopher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6985</wp:posOffset>
            </wp:positionV>
            <wp:extent cx="3566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Chris Mason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52" w:name="page153"/>
    <w:bookmarkEnd w:id="152"/>
    <w:p>
      <w:pPr>
        <w:jc w:val="center"/>
        <w:ind w:right="-559"/>
        <w:spacing w:after="0"/>
        <w:rPr>
          <w:sz w:val="20"/>
          <w:szCs w:val="20"/>
          <w:color w:val="auto"/>
        </w:rPr>
      </w:pPr>
      <w:r>
        <w:rPr>
          <w:rFonts w:ascii="Arial" w:cs="Arial" w:eastAsia="Arial" w:hAnsi="Arial"/>
          <w:sz w:val="22"/>
          <w:szCs w:val="22"/>
          <w:b w:val="1"/>
          <w:bCs w:val="1"/>
          <w:color w:val="auto"/>
        </w:rPr>
        <w:t>Schedule 1</w:t>
      </w:r>
    </w:p>
    <w:p>
      <w:pPr>
        <w:spacing w:after="0" w:line="20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Approved Activities</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University College London, London, UK: Professor of Cell and Gene Therapy - De minimis GSK: Gene Therapy Advisory Board - 1 meeting p.a.</w:t>
      </w:r>
    </w:p>
    <w:p>
      <w:pPr>
        <w:spacing w:after="0" w:line="230" w:lineRule="auto"/>
        <w:rPr>
          <w:sz w:val="20"/>
          <w:szCs w:val="20"/>
          <w:color w:val="auto"/>
        </w:rPr>
      </w:pPr>
      <w:r>
        <w:rPr>
          <w:rFonts w:ascii="Arial" w:cs="Arial" w:eastAsia="Arial" w:hAnsi="Arial"/>
          <w:sz w:val="22"/>
          <w:szCs w:val="22"/>
          <w:color w:val="auto"/>
        </w:rPr>
        <w:t>UCB: Gene Therapy Advisory Board - I meeting p.a.</w:t>
      </w:r>
    </w:p>
    <w:p>
      <w:pPr>
        <w:spacing w:after="0" w:line="231" w:lineRule="auto"/>
        <w:rPr>
          <w:sz w:val="20"/>
          <w:szCs w:val="20"/>
          <w:color w:val="auto"/>
        </w:rPr>
      </w:pPr>
      <w:r>
        <w:rPr>
          <w:rFonts w:ascii="Arial" w:cs="Arial" w:eastAsia="Arial" w:hAnsi="Arial"/>
          <w:sz w:val="22"/>
          <w:szCs w:val="22"/>
          <w:color w:val="auto"/>
        </w:rPr>
        <w:t>OriBiotech, London, UK: Advisory Board - 1 meeting p.a.</w:t>
      </w:r>
    </w:p>
    <w:p>
      <w:pPr>
        <w:spacing w:after="0"/>
        <w:rPr>
          <w:sz w:val="20"/>
          <w:szCs w:val="20"/>
          <w:color w:val="auto"/>
        </w:rPr>
      </w:pPr>
      <w:r>
        <w:rPr>
          <w:rFonts w:ascii="Arial" w:cs="Arial" w:eastAsia="Arial" w:hAnsi="Arial"/>
          <w:sz w:val="22"/>
          <w:szCs w:val="22"/>
          <w:color w:val="auto"/>
        </w:rPr>
        <w:t>Cell and Gene Therapy Catapult, London, UK: SAB- 1 meeting p.a.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320" w:top="328" w:right="89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Confidentiality and IP Assignment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9019"/>
          </w:cols>
          <w:pgMar w:left="1440" w:top="328"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b w:val="1"/>
          <w:bCs w:val="1"/>
          <w:color w:val="auto"/>
        </w:rPr>
        <w:t>Exhibit 10.20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AVROBIO,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jc w:val="both"/>
        <w:ind w:right="140" w:firstLine="864"/>
        <w:spacing w:after="0" w:line="250" w:lineRule="auto"/>
        <w:rPr>
          <w:sz w:val="20"/>
          <w:szCs w:val="20"/>
          <w:color w:val="auto"/>
        </w:rPr>
      </w:pPr>
      <w:r>
        <w:rPr>
          <w:rFonts w:ascii="Arial" w:cs="Arial" w:eastAsia="Arial" w:hAnsi="Arial"/>
          <w:sz w:val="22"/>
          <w:szCs w:val="22"/>
          <w:color w:val="auto"/>
        </w:rPr>
        <w:t>This Employment Agreement (“Agreement”) is made as of the 4</w:t>
      </w:r>
      <w:r>
        <w:rPr>
          <w:rFonts w:ascii="Arial" w:cs="Arial" w:eastAsia="Arial" w:hAnsi="Arial"/>
          <w:sz w:val="18"/>
          <w:szCs w:val="18"/>
          <w:color w:val="auto"/>
        </w:rPr>
        <w:t>th</w:t>
      </w:r>
      <w:r>
        <w:rPr>
          <w:rFonts w:ascii="Arial" w:cs="Arial" w:eastAsia="Arial" w:hAnsi="Arial"/>
          <w:sz w:val="22"/>
          <w:szCs w:val="22"/>
          <w:color w:val="auto"/>
        </w:rPr>
        <w:t xml:space="preserve"> day of December 2020, between AVROBIO, Inc., a Delaware corporation (the “Company”), and Diana Escolar, MD (the “Executive”).</w:t>
      </w:r>
    </w:p>
    <w:p>
      <w:pPr>
        <w:spacing w:after="0" w:line="175" w:lineRule="exact"/>
        <w:rPr>
          <w:sz w:val="20"/>
          <w:szCs w:val="20"/>
          <w:color w:val="auto"/>
        </w:rPr>
      </w:pPr>
    </w:p>
    <w:p>
      <w:pPr>
        <w:jc w:val="both"/>
        <w:ind w:right="120" w:firstLine="864"/>
        <w:spacing w:after="0"/>
        <w:rPr>
          <w:sz w:val="20"/>
          <w:szCs w:val="20"/>
          <w:color w:val="auto"/>
        </w:rPr>
      </w:pPr>
      <w:r>
        <w:rPr>
          <w:rFonts w:ascii="Arial" w:cs="Arial" w:eastAsia="Arial" w:hAnsi="Arial"/>
          <w:sz w:val="22"/>
          <w:szCs w:val="22"/>
          <w:color w:val="auto"/>
        </w:rPr>
        <w:t>WHEREAS, the Company desires to employ the Executive and the Executive desires to be employed by the Company commencing on January 18, 2021, unless another date is agreed to by the parties. The Executive’s first day of employment shall be the “Effective Date” of this Agreement; and</w:t>
      </w:r>
    </w:p>
    <w:p>
      <w:pPr>
        <w:spacing w:after="0" w:line="186" w:lineRule="exact"/>
        <w:rPr>
          <w:sz w:val="20"/>
          <w:szCs w:val="20"/>
          <w:color w:val="auto"/>
        </w:rPr>
      </w:pPr>
    </w:p>
    <w:p>
      <w:pPr>
        <w:ind w:right="200" w:firstLine="864"/>
        <w:spacing w:after="0" w:line="238" w:lineRule="auto"/>
        <w:rPr>
          <w:sz w:val="20"/>
          <w:szCs w:val="20"/>
          <w:color w:val="auto"/>
        </w:rPr>
      </w:pPr>
      <w:r>
        <w:rPr>
          <w:rFonts w:ascii="Arial" w:cs="Arial" w:eastAsia="Arial" w:hAnsi="Arial"/>
          <w:sz w:val="22"/>
          <w:szCs w:val="22"/>
          <w:color w:val="auto"/>
        </w:rPr>
        <w:t>WHEREAS, to protect the Company’s proprietary information and goodwill, as a condition of Executive’s employment, the Executive and the Company will become parties to the Employee Confidentiality, Assignment and Noncompetition Agreement (the “Restrictive Covenants Agreement”), which is being provided to the Executive along with this Agreement.</w:t>
      </w:r>
    </w:p>
    <w:p>
      <w:pPr>
        <w:spacing w:after="0" w:line="185" w:lineRule="exact"/>
        <w:rPr>
          <w:sz w:val="20"/>
          <w:szCs w:val="20"/>
          <w:color w:val="auto"/>
        </w:rPr>
      </w:pPr>
    </w:p>
    <w:p>
      <w:pPr>
        <w:ind w:right="300" w:firstLine="864"/>
        <w:spacing w:after="0" w:line="328" w:lineRule="auto"/>
        <w:rPr>
          <w:sz w:val="20"/>
          <w:szCs w:val="20"/>
          <w:color w:val="auto"/>
        </w:rPr>
      </w:pPr>
      <w:r>
        <w:rPr>
          <w:rFonts w:ascii="Arial" w:cs="Arial" w:eastAsia="Arial" w:hAnsi="Arial"/>
          <w:sz w:val="19"/>
          <w:szCs w:val="19"/>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05" w:lineRule="exact"/>
        <w:rPr>
          <w:sz w:val="20"/>
          <w:szCs w:val="20"/>
          <w:color w:val="auto"/>
        </w:rPr>
      </w:pPr>
    </w:p>
    <w:p>
      <w:pPr>
        <w:ind w:left="1680" w:hanging="808"/>
        <w:spacing w:after="0"/>
        <w:tabs>
          <w:tab w:leader="none" w:pos="168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300" w:firstLine="1735"/>
        <w:spacing w:after="0" w:line="238" w:lineRule="auto"/>
        <w:tabs>
          <w:tab w:leader="none" w:pos="2615"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shall commence on the Effective Date and continue until terminated in accordance with the provisions hereof (the “Term”). The Executive’s employment with the Company will be “at will,” meaning that the Executive’s employment may be terminated by the Company or the Executive at any time and for any reason subject to the terms of this Agreement.</w:t>
      </w:r>
    </w:p>
    <w:p>
      <w:pPr>
        <w:spacing w:after="0" w:line="184" w:lineRule="exact"/>
        <w:rPr>
          <w:rFonts w:ascii="Arial" w:cs="Arial" w:eastAsia="Arial" w:hAnsi="Arial"/>
          <w:sz w:val="22"/>
          <w:szCs w:val="22"/>
          <w:color w:val="auto"/>
        </w:rPr>
      </w:pPr>
    </w:p>
    <w:p>
      <w:pPr>
        <w:ind w:right="60" w:firstLine="1735"/>
        <w:spacing w:after="0" w:line="273" w:lineRule="auto"/>
        <w:tabs>
          <w:tab w:leader="none" w:pos="2627"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During the Term, the Executive shall serve as the Chief Medical Officer of the Company, reporting to Geoff MacKay, the Company’s President and CEO (“CEO”). In such role, the Executive shall have supervision and control over and responsibility for all clinical, medical, and regulatory affairs of the Company and shall have such other powers and duties as may from time to time be prescribed by the Board of Directors of the Company (the “Board”), the Chief Executive Officer of the Company (the “CEO”), or other authorized executive. The Executive shall devote her full working time and efforts to the business and affairs of the Company. Notwithstanding the foregoing, the Executive may serve on other boards of directors, with the approval of the Board, or engage in religious, charitable or other community activities as long as such services and activities are disclosed to the Board and do not materially interfere with the Executive’s performance of her duties to the Company as provided in this Agreement. For the avoidance of doubt, the Executive may continue to serve in the roles set forth on Schedule 1 hereto without the necessity of further approval from the Board, provided that no conflicts result in the future from the Executive’s service in such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5" w:name="page156"/>
    <w:bookmarkEnd w:id="155"/>
    <w:p>
      <w:pPr>
        <w:ind w:left="1680" w:hanging="808"/>
        <w:spacing w:after="0"/>
        <w:tabs>
          <w:tab w:leader="none" w:pos="168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80" w:firstLine="1735"/>
        <w:spacing w:after="0" w:line="287" w:lineRule="auto"/>
        <w:tabs>
          <w:tab w:leader="none" w:pos="2615"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Term, the Executive’s annual base salary shall be $450,000. The Executive’s base salary shall be reviewed annually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142" w:lineRule="exact"/>
        <w:rPr>
          <w:rFonts w:ascii="Arial" w:cs="Arial" w:eastAsia="Arial" w:hAnsi="Arial"/>
          <w:sz w:val="19"/>
          <w:szCs w:val="19"/>
          <w:color w:val="auto"/>
        </w:rPr>
      </w:pPr>
    </w:p>
    <w:p>
      <w:pPr>
        <w:ind w:firstLine="1735"/>
        <w:spacing w:after="0" w:line="236" w:lineRule="auto"/>
        <w:tabs>
          <w:tab w:leader="none" w:pos="2627"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Incentive Compensation</w:t>
      </w:r>
      <w:r>
        <w:rPr>
          <w:rFonts w:ascii="Arial" w:cs="Arial" w:eastAsia="Arial" w:hAnsi="Arial"/>
          <w:sz w:val="22"/>
          <w:szCs w:val="22"/>
          <w:color w:val="auto"/>
        </w:rPr>
        <w:t>. During the Term, the Executive shall be eligible to receive cash incentive compensation as determined by the Board or the Compensation Committee from time to time. The Executive’s initial target annual incentive compensation shall be forty percent (40%) of her Base Salary (as in effect at any time, the “Target Annual Incentive Compensation”). To earn incentive compensation, the Executive must be employed by the Company on the day such incentive compensation is paid.</w:t>
      </w:r>
    </w:p>
    <w:p>
      <w:pPr>
        <w:spacing w:after="0" w:line="187" w:lineRule="exact"/>
        <w:rPr>
          <w:rFonts w:ascii="Arial" w:cs="Arial" w:eastAsia="Arial" w:hAnsi="Arial"/>
          <w:sz w:val="22"/>
          <w:szCs w:val="22"/>
          <w:color w:val="auto"/>
        </w:rPr>
      </w:pPr>
    </w:p>
    <w:p>
      <w:pPr>
        <w:ind w:right="480" w:firstLine="1735"/>
        <w:spacing w:after="0" w:line="257" w:lineRule="auto"/>
        <w:tabs>
          <w:tab w:leader="none" w:pos="2615" w:val="left"/>
        </w:tabs>
        <w:numPr>
          <w:ilvl w:val="1"/>
          <w:numId w:val="93"/>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senior officers.</w:t>
      </w:r>
    </w:p>
    <w:p>
      <w:pPr>
        <w:spacing w:after="0" w:line="169" w:lineRule="exact"/>
        <w:rPr>
          <w:rFonts w:ascii="Arial" w:cs="Arial" w:eastAsia="Arial" w:hAnsi="Arial"/>
          <w:sz w:val="21"/>
          <w:szCs w:val="21"/>
          <w:color w:val="auto"/>
        </w:rPr>
      </w:pPr>
    </w:p>
    <w:p>
      <w:pPr>
        <w:ind w:right="700" w:firstLine="1735"/>
        <w:spacing w:after="0" w:line="276" w:lineRule="auto"/>
        <w:tabs>
          <w:tab w:leader="none" w:pos="2627"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Other Benefits</w:t>
      </w:r>
      <w:r>
        <w:rPr>
          <w:rFonts w:ascii="Arial" w:cs="Arial" w:eastAsia="Arial" w:hAnsi="Arial"/>
          <w:sz w:val="19"/>
          <w:szCs w:val="19"/>
          <w:color w:val="auto"/>
        </w:rPr>
        <w:t>. During the Term, the Executive shall be eligible to participate in or receive benefits under the Company’s employee benefit plans in effect from time to time, subject to the terms of such</w:t>
      </w:r>
    </w:p>
    <w:p>
      <w:pPr>
        <w:spacing w:after="0" w:line="1" w:lineRule="exact"/>
        <w:rPr>
          <w:rFonts w:ascii="Arial" w:cs="Arial" w:eastAsia="Arial" w:hAnsi="Arial"/>
          <w:sz w:val="19"/>
          <w:szCs w:val="19"/>
          <w:color w:val="auto"/>
        </w:rPr>
      </w:pPr>
    </w:p>
    <w:p>
      <w:pPr>
        <w:ind w:right="640"/>
        <w:spacing w:after="0" w:line="236" w:lineRule="auto"/>
        <w:rPr>
          <w:rFonts w:ascii="Arial" w:cs="Arial" w:eastAsia="Arial" w:hAnsi="Arial"/>
          <w:sz w:val="19"/>
          <w:szCs w:val="19"/>
          <w:color w:val="auto"/>
        </w:rPr>
      </w:pPr>
      <w:r>
        <w:rPr>
          <w:rFonts w:ascii="Arial" w:cs="Arial" w:eastAsia="Arial" w:hAnsi="Arial"/>
          <w:sz w:val="22"/>
          <w:szCs w:val="22"/>
          <w:color w:val="auto"/>
        </w:rPr>
        <w:t>plans. Additionally, during the Term, the Executive shall be eligible to receive such benefits and perquisites as those made available to the other employees of the Company generally.</w:t>
      </w:r>
    </w:p>
    <w:p>
      <w:pPr>
        <w:spacing w:after="0" w:line="186" w:lineRule="exact"/>
        <w:rPr>
          <w:rFonts w:ascii="Arial" w:cs="Arial" w:eastAsia="Arial" w:hAnsi="Arial"/>
          <w:sz w:val="19"/>
          <w:szCs w:val="19"/>
          <w:color w:val="auto"/>
        </w:rPr>
      </w:pPr>
    </w:p>
    <w:p>
      <w:pPr>
        <w:ind w:right="20" w:firstLine="1735"/>
        <w:spacing w:after="0" w:line="257" w:lineRule="auto"/>
        <w:tabs>
          <w:tab w:leader="none" w:pos="2615" w:val="left"/>
        </w:tabs>
        <w:numPr>
          <w:ilvl w:val="1"/>
          <w:numId w:val="93"/>
        </w:numPr>
        <w:rPr>
          <w:rFonts w:ascii="Arial" w:cs="Arial" w:eastAsia="Arial" w:hAnsi="Arial"/>
          <w:sz w:val="21"/>
          <w:szCs w:val="21"/>
          <w:color w:val="auto"/>
        </w:rPr>
      </w:pPr>
      <w:r>
        <w:rPr>
          <w:rFonts w:ascii="Arial" w:cs="Arial" w:eastAsia="Arial" w:hAnsi="Arial"/>
          <w:sz w:val="21"/>
          <w:szCs w:val="21"/>
          <w:u w:val="single" w:color="auto"/>
          <w:color w:val="auto"/>
        </w:rPr>
        <w:t>Vacations</w:t>
      </w:r>
      <w:r>
        <w:rPr>
          <w:rFonts w:ascii="Arial" w:cs="Arial" w:eastAsia="Arial" w:hAnsi="Arial"/>
          <w:sz w:val="21"/>
          <w:szCs w:val="21"/>
          <w:color w:val="auto"/>
        </w:rPr>
        <w:t>. During the Term, the Executive shall be entitled to paid vacation in accordance with the Company’s policies and procedures, which shall be a minimum of 20 days in addition to the Company’s paid holidays. The Executive shall also be entitled to all paid holidays given by the Company to its executive officers.</w:t>
      </w:r>
    </w:p>
    <w:p>
      <w:pPr>
        <w:spacing w:after="0" w:line="169" w:lineRule="exact"/>
        <w:rPr>
          <w:rFonts w:ascii="Arial" w:cs="Arial" w:eastAsia="Arial" w:hAnsi="Arial"/>
          <w:sz w:val="21"/>
          <w:szCs w:val="21"/>
          <w:color w:val="auto"/>
        </w:rPr>
      </w:pPr>
    </w:p>
    <w:p>
      <w:pPr>
        <w:ind w:firstLine="1735"/>
        <w:spacing w:after="0" w:line="272" w:lineRule="auto"/>
        <w:tabs>
          <w:tab w:leader="none" w:pos="2591"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Equity</w:t>
      </w:r>
      <w:r>
        <w:rPr>
          <w:rFonts w:ascii="Arial" w:cs="Arial" w:eastAsia="Arial" w:hAnsi="Arial"/>
          <w:sz w:val="19"/>
          <w:szCs w:val="19"/>
          <w:color w:val="auto"/>
        </w:rPr>
        <w:t>. The Executive shall also be eligible to participate in the Company’s equity incentive plan, subject to approval by the Board or Compensation Committee. As a material inducement to the Executive entering into this Agreement and becoming an employee of the Company, and subject to approval by the Board or Compensation Committee, the Company will grant the Executive an option to purchase 130,000 shares of the Company’s common stock (“New Hire Award”). The New Hire Award shall vest over four years, with twenty-five percent of the New Hire Award vesting on the one-year anniversary of the Effective Date and the remaining shares vesting in thirty-six equal monthly installments following the one-year anniversary of the Effective Date, subject to the Executive’s continued service relationship with the Company. The New Hire Award shall be granted under the Company’s 2019 Inducement Plan in the form of a non-qualified stock option as an inducement grant consistent with the requirements of NASDAQ Stock Market Rule 5635(c)(4). The New Hire Award will be governed by the terms and conditions of an award agreement (such documents, together with any other equity awards held by the Executive and the applicable award agreements and the Company’s applicable equity incentive plan(s), the “Equity Documents”); provided, however, and notwithstanding anything to the contrary in the Equity Documents, Section 4(b)(ii) 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6" w:name="page157"/>
    <w:bookmarkEnd w:id="156"/>
    <w:p>
      <w:pPr>
        <w:ind w:right="200"/>
        <w:spacing w:after="0" w:line="250" w:lineRule="auto"/>
        <w:rPr>
          <w:sz w:val="20"/>
          <w:szCs w:val="20"/>
          <w:color w:val="auto"/>
        </w:rPr>
      </w:pPr>
      <w:r>
        <w:rPr>
          <w:rFonts w:ascii="Arial" w:cs="Arial" w:eastAsia="Arial" w:hAnsi="Arial"/>
          <w:sz w:val="22"/>
          <w:szCs w:val="22"/>
          <w:color w:val="auto"/>
        </w:rPr>
        <w:t>Section 5(a)(ii) of this Agreement (as applicable) shall apply in the event of a termination by the Company without Cause or by the Executive for Good Reason (as such terms are defined below).</w:t>
      </w:r>
    </w:p>
    <w:p>
      <w:pPr>
        <w:spacing w:after="0" w:line="175" w:lineRule="exact"/>
        <w:rPr>
          <w:sz w:val="20"/>
          <w:szCs w:val="20"/>
          <w:color w:val="auto"/>
        </w:rPr>
      </w:pPr>
    </w:p>
    <w:p>
      <w:pPr>
        <w:ind w:right="140" w:firstLine="1735"/>
        <w:spacing w:after="0" w:line="252" w:lineRule="auto"/>
        <w:tabs>
          <w:tab w:leader="none" w:pos="2627"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Signing Bonus</w:t>
      </w:r>
      <w:r>
        <w:rPr>
          <w:rFonts w:ascii="Arial" w:cs="Arial" w:eastAsia="Arial" w:hAnsi="Arial"/>
          <w:sz w:val="21"/>
          <w:szCs w:val="21"/>
          <w:color w:val="auto"/>
        </w:rPr>
        <w:t>. The Company will pay the Executive a one-time signing bonus of $100,000 payable in a lump sum on the date of the first payroll after the Effective Date, subject to applicable deductions and withholdings (the “Signing Bonus”). The Signing Bonus will be subject to repayments in full if the Executive voluntarily chooses to resign from the Company within the first twelve (12) months of the Effective Date.</w:t>
      </w:r>
    </w:p>
    <w:p>
      <w:pPr>
        <w:spacing w:after="0" w:line="173" w:lineRule="exact"/>
        <w:rPr>
          <w:rFonts w:ascii="Arial" w:cs="Arial" w:eastAsia="Arial" w:hAnsi="Arial"/>
          <w:sz w:val="21"/>
          <w:szCs w:val="21"/>
          <w:color w:val="auto"/>
        </w:rPr>
      </w:pPr>
    </w:p>
    <w:p>
      <w:pPr>
        <w:ind w:firstLine="1735"/>
        <w:spacing w:after="0" w:line="271" w:lineRule="auto"/>
        <w:tabs>
          <w:tab w:leader="none" w:pos="2627"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Relocation Benefits</w:t>
      </w:r>
      <w:r>
        <w:rPr>
          <w:rFonts w:ascii="Arial" w:cs="Arial" w:eastAsia="Arial" w:hAnsi="Arial"/>
          <w:sz w:val="19"/>
          <w:szCs w:val="19"/>
          <w:color w:val="auto"/>
        </w:rPr>
        <w:t xml:space="preserve">. Provided that the Executive executes and delivers a Relocation Repayment Agreement prior to the Effective Date, the Executive will be eligible for the Company’s relocation benefits (“Relocation Benefits”), covering relocation expenses from Colorado to the Boston, Massachusetts area, as described in further detail in the Company’s Executive Relocation Policy and Benefits Summary, a copy of which is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“Relocation Policy”). Notwithstanding anything to the contrary in the Relocation Policy regarding the number of months for which executives are eligible for temporary housing, the Executive shall be entitled to six (6) months of temporary housing, subject to the terms and conditions of the Relocation Policy. In addition, and notwithstanding anything to the contrary in the Relocation Policy, to the extent that any of the Relocation Benefits result in taxable income to the Executive (after taking into account any and all offsetting deductions), the Company will pay the Executive an additional amount (the “Relocation Gross-Up”) such that the net after-tax amount of the reimbursement of the Relocation Benefits and the Relocation Gross-Up (at the Executive’s then-current combined state and federal marginal income tax rates, taking into account the deductibility of state and local income taxes for federal income tax purposes and all other applicable deductions) is equal to the Relocation Benefits. [Notwithstanding the foregoing, the Relocation Gross-Up shall not exceed $50,000. Any tax gross-up payment will be paid to the Executive no later than sixty (60) days after which the Executive remits the related taxes.</w:t>
      </w:r>
    </w:p>
    <w:p>
      <w:pPr>
        <w:spacing w:after="0" w:line="164" w:lineRule="exact"/>
        <w:rPr>
          <w:rFonts w:ascii="Arial" w:cs="Arial" w:eastAsia="Arial" w:hAnsi="Arial"/>
          <w:sz w:val="19"/>
          <w:szCs w:val="19"/>
          <w:color w:val="auto"/>
        </w:rPr>
      </w:pPr>
    </w:p>
    <w:p>
      <w:pPr>
        <w:ind w:right="40" w:firstLine="872"/>
        <w:spacing w:after="0" w:line="250" w:lineRule="auto"/>
        <w:tabs>
          <w:tab w:leader="none" w:pos="1674"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During the Term, the Executive’s employment hereunder may be terminated without any breach of this Agreement under the following circumstances:</w:t>
      </w:r>
    </w:p>
    <w:p>
      <w:pPr>
        <w:spacing w:after="0" w:line="174" w:lineRule="exact"/>
        <w:rPr>
          <w:rFonts w:ascii="Arial" w:cs="Arial" w:eastAsia="Arial" w:hAnsi="Arial"/>
          <w:sz w:val="22"/>
          <w:szCs w:val="22"/>
          <w:color w:val="auto"/>
        </w:rPr>
      </w:pPr>
    </w:p>
    <w:p>
      <w:pPr>
        <w:ind w:left="2620" w:hanging="885"/>
        <w:spacing w:after="0"/>
        <w:tabs>
          <w:tab w:leader="none" w:pos="2620"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The Executive’s employment hereunder shall terminate upon her death.</w:t>
      </w:r>
    </w:p>
    <w:p>
      <w:pPr>
        <w:spacing w:after="0" w:line="206" w:lineRule="exact"/>
        <w:rPr>
          <w:rFonts w:ascii="Arial" w:cs="Arial" w:eastAsia="Arial" w:hAnsi="Arial"/>
          <w:sz w:val="22"/>
          <w:szCs w:val="22"/>
          <w:color w:val="auto"/>
        </w:rPr>
      </w:pPr>
    </w:p>
    <w:p>
      <w:pPr>
        <w:ind w:right="100" w:firstLine="1735"/>
        <w:spacing w:after="0" w:line="273" w:lineRule="auto"/>
        <w:tabs>
          <w:tab w:leader="none" w:pos="2627"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the Executive’s employment if 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57" w:name="page158"/>
    <w:bookmarkEnd w:id="157"/>
    <w:p>
      <w:pPr>
        <w:jc w:val="both"/>
        <w:ind w:right="40"/>
        <w:spacing w:after="0" w:line="257" w:lineRule="auto"/>
        <w:rPr>
          <w:sz w:val="20"/>
          <w:szCs w:val="20"/>
          <w:color w:val="auto"/>
        </w:rPr>
      </w:pPr>
      <w:r>
        <w:rPr>
          <w:rFonts w:ascii="Arial" w:cs="Arial" w:eastAsia="Arial" w:hAnsi="Arial"/>
          <w:sz w:val="21"/>
          <w:szCs w:val="21"/>
          <w:color w:val="auto"/>
        </w:rPr>
        <w:t xml:space="preserve">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and the Americans with Disabilities Act, 42 U.S.C. §12101 </w:t>
      </w:r>
      <w:r>
        <w:rPr>
          <w:rFonts w:ascii="Arial" w:cs="Arial" w:eastAsia="Arial" w:hAnsi="Arial"/>
          <w:sz w:val="21"/>
          <w:szCs w:val="21"/>
          <w:i w:val="1"/>
          <w:iCs w:val="1"/>
          <w:color w:val="auto"/>
        </w:rPr>
        <w:t>et seq.</w:t>
      </w:r>
    </w:p>
    <w:p>
      <w:pPr>
        <w:spacing w:after="0" w:line="169" w:lineRule="exact"/>
        <w:rPr>
          <w:sz w:val="20"/>
          <w:szCs w:val="20"/>
          <w:color w:val="auto"/>
        </w:rPr>
      </w:pPr>
    </w:p>
    <w:p>
      <w:pPr>
        <w:ind w:firstLine="1735"/>
        <w:spacing w:after="0" w:line="271" w:lineRule="auto"/>
        <w:tabs>
          <w:tab w:leader="none" w:pos="2615"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The Company may terminate the Executive’s employment hereunder for Cause. For purposes of this Agreement, “Cause” shall mean: (i) conduct by the Executive constituting a material act of misconduct in connection with the performance of her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material deceit or dishonesty, or fraud, or any conduct by the Executive that would reasonably be expected to result in material injury or reputational harm to the Company or any of its subsidiaries or affiliates if he were retained in her position; (iii) continued non-performance by the Executive of her duties hereunder (other than by reason of the Executive’s physical or mental illness, incapacity or disability) which has continued for more than 30 days following written notice (with a reasonably detailed summary of such alleged non-performance specified) of such non-performance from the Company’s CEO; (iv) a breach by the Executive of any of the provisions incorporated into or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60" w:lineRule="exact"/>
        <w:rPr>
          <w:rFonts w:ascii="Arial" w:cs="Arial" w:eastAsia="Arial" w:hAnsi="Arial"/>
          <w:sz w:val="19"/>
          <w:szCs w:val="19"/>
          <w:color w:val="auto"/>
        </w:rPr>
      </w:pPr>
    </w:p>
    <w:p>
      <w:pPr>
        <w:ind w:right="60" w:firstLine="1735"/>
        <w:spacing w:after="0" w:line="238" w:lineRule="auto"/>
        <w:tabs>
          <w:tab w:leader="none" w:pos="2627"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84" w:lineRule="exact"/>
        <w:rPr>
          <w:rFonts w:ascii="Arial" w:cs="Arial" w:eastAsia="Arial" w:hAnsi="Arial"/>
          <w:sz w:val="22"/>
          <w:szCs w:val="22"/>
          <w:color w:val="auto"/>
        </w:rPr>
      </w:pPr>
    </w:p>
    <w:p>
      <w:pPr>
        <w:ind w:firstLine="1735"/>
        <w:spacing w:after="0" w:line="273" w:lineRule="auto"/>
        <w:tabs>
          <w:tab w:leader="none" w:pos="2615"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her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(i) a material diminution in the Executive’s responsibilities, authority or duties or reporting relationship; (ii) a material diminution in the Executive’s Base Salary except for across-the-board salary reductions based on the Company’s financial performance similarly affecting all or substantially all senior management employees of the Company; (iii) a material change in the geographic location at which the Executive provides services to the Company; or (iv) a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58" w:name="page159"/>
    <w:bookmarkEnd w:id="158"/>
    <w:p>
      <w:pPr>
        <w:jc w:val="both"/>
        <w:ind w:right="60"/>
        <w:spacing w:after="0" w:line="297" w:lineRule="auto"/>
        <w:rPr>
          <w:sz w:val="20"/>
          <w:szCs w:val="20"/>
          <w:color w:val="auto"/>
        </w:rPr>
      </w:pPr>
      <w:r>
        <w:rPr>
          <w:rFonts w:ascii="Arial" w:cs="Arial" w:eastAsia="Arial" w:hAnsi="Arial"/>
          <w:sz w:val="19"/>
          <w:szCs w:val="19"/>
          <w:color w:val="auto"/>
        </w:rPr>
        <w:t>such notice (the “Cure Period”), to remedy the condition; (iv) notwithstanding such efforts, the Good Reason condition continues to exist; and (v) the Executive terminates her employment within 60 days after the end of the Cure Period. If the Company cures the Good Reason condition during the Cure Period, Good Reason shall be deemed not to have occurred.</w:t>
      </w:r>
    </w:p>
    <w:p>
      <w:pPr>
        <w:spacing w:after="0" w:line="134" w:lineRule="exact"/>
        <w:rPr>
          <w:sz w:val="20"/>
          <w:szCs w:val="20"/>
          <w:color w:val="auto"/>
        </w:rPr>
      </w:pPr>
    </w:p>
    <w:p>
      <w:pPr>
        <w:jc w:val="both"/>
        <w:ind w:right="20" w:firstLine="1735"/>
        <w:spacing w:after="0" w:line="252" w:lineRule="auto"/>
        <w:tabs>
          <w:tab w:leader="none" w:pos="2591" w:val="left"/>
        </w:tabs>
        <w:numPr>
          <w:ilvl w:val="2"/>
          <w:numId w:val="97"/>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73" w:lineRule="exact"/>
        <w:rPr>
          <w:rFonts w:ascii="Arial" w:cs="Arial" w:eastAsia="Arial" w:hAnsi="Arial"/>
          <w:sz w:val="21"/>
          <w:szCs w:val="21"/>
          <w:color w:val="auto"/>
        </w:rPr>
      </w:pPr>
    </w:p>
    <w:p>
      <w:pPr>
        <w:ind w:right="220" w:firstLine="1735"/>
        <w:spacing w:after="0" w:line="271" w:lineRule="auto"/>
        <w:tabs>
          <w:tab w:leader="none" w:pos="2627" w:val="left"/>
        </w:tabs>
        <w:numPr>
          <w:ilvl w:val="2"/>
          <w:numId w:val="97"/>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“Date of Termination” shall mean: (i) if the Executive’s employment is terminated by her death, the date of her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w:t>
      </w:r>
    </w:p>
    <w:p>
      <w:pPr>
        <w:spacing w:after="0" w:line="3" w:lineRule="exact"/>
        <w:rPr>
          <w:rFonts w:ascii="Arial" w:cs="Arial" w:eastAsia="Arial" w:hAnsi="Arial"/>
          <w:sz w:val="19"/>
          <w:szCs w:val="19"/>
          <w:color w:val="auto"/>
        </w:rPr>
      </w:pPr>
    </w:p>
    <w:p>
      <w:pPr>
        <w:ind w:right="400" w:firstLine="8"/>
        <w:spacing w:after="0" w:line="266" w:lineRule="auto"/>
        <w:tabs>
          <w:tab w:leader="none" w:pos="366" w:val="left"/>
        </w:tabs>
        <w:numPr>
          <w:ilvl w:val="0"/>
          <w:numId w:val="98"/>
        </w:numPr>
        <w:rPr>
          <w:rFonts w:ascii="Arial" w:cs="Arial" w:eastAsia="Arial" w:hAnsi="Arial"/>
          <w:sz w:val="19"/>
          <w:szCs w:val="19"/>
          <w:color w:val="auto"/>
        </w:rPr>
      </w:pPr>
      <w:r>
        <w:rPr>
          <w:rFonts w:ascii="Arial" w:cs="Arial" w:eastAsia="Arial" w:hAnsi="Arial"/>
          <w:sz w:val="19"/>
          <w:szCs w:val="19"/>
          <w:color w:val="auto"/>
        </w:rPr>
        <w:t>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w:t>
      </w:r>
    </w:p>
    <w:p>
      <w:pPr>
        <w:spacing w:after="0" w:line="2" w:lineRule="exact"/>
        <w:rPr>
          <w:rFonts w:ascii="Arial" w:cs="Arial" w:eastAsia="Arial" w:hAnsi="Arial"/>
          <w:sz w:val="19"/>
          <w:szCs w:val="19"/>
          <w:color w:val="auto"/>
        </w:rPr>
      </w:pPr>
    </w:p>
    <w:p>
      <w:pPr>
        <w:jc w:val="both"/>
        <w:ind w:right="640"/>
        <w:spacing w:after="0" w:line="234" w:lineRule="auto"/>
        <w:rPr>
          <w:rFonts w:ascii="Arial" w:cs="Arial" w:eastAsia="Arial" w:hAnsi="Arial"/>
          <w:sz w:val="19"/>
          <w:szCs w:val="19"/>
          <w:color w:val="auto"/>
        </w:rPr>
      </w:pPr>
      <w:r>
        <w:rPr>
          <w:rFonts w:ascii="Arial" w:cs="Arial" w:eastAsia="Arial" w:hAnsi="Arial"/>
          <w:sz w:val="22"/>
          <w:szCs w:val="22"/>
          <w:color w:val="auto"/>
        </w:rPr>
        <w:t>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7" w:lineRule="exact"/>
        <w:rPr>
          <w:rFonts w:ascii="Arial" w:cs="Arial" w:eastAsia="Arial" w:hAnsi="Arial"/>
          <w:sz w:val="19"/>
          <w:szCs w:val="19"/>
          <w:color w:val="auto"/>
        </w:rPr>
      </w:pPr>
    </w:p>
    <w:p>
      <w:pPr>
        <w:ind w:left="1680" w:hanging="808"/>
        <w:spacing w:after="0"/>
        <w:tabs>
          <w:tab w:leader="none" w:pos="1680"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735"/>
        <w:spacing w:after="0" w:line="277" w:lineRule="auto"/>
        <w:tabs>
          <w:tab w:leader="none" w:pos="2615" w:val="left"/>
        </w:tabs>
        <w:numPr>
          <w:ilvl w:val="2"/>
          <w:numId w:val="98"/>
        </w:numPr>
        <w:rPr>
          <w:rFonts w:ascii="Arial" w:cs="Arial" w:eastAsia="Arial" w:hAnsi="Arial"/>
          <w:sz w:val="19"/>
          <w:szCs w:val="19"/>
          <w:color w:val="auto"/>
        </w:rPr>
      </w:pPr>
      <w:r>
        <w:rPr>
          <w:rFonts w:ascii="Arial" w:cs="Arial" w:eastAsia="Arial" w:hAnsi="Arial"/>
          <w:sz w:val="19"/>
          <w:szCs w:val="19"/>
          <w:u w:val="single" w:color="auto"/>
          <w:color w:val="auto"/>
        </w:rPr>
        <w:t>Termination Generally</w:t>
      </w:r>
      <w:r>
        <w:rPr>
          <w:rFonts w:ascii="Arial" w:cs="Arial" w:eastAsia="Arial" w:hAnsi="Arial"/>
          <w:sz w:val="19"/>
          <w:szCs w:val="19"/>
          <w:color w:val="auto"/>
        </w:rPr>
        <w:t>. If the Executive’s employment with the Company is terminated for any reason, the Company shall pay or provide to the Executive (or to her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51" w:lineRule="exact"/>
        <w:rPr>
          <w:rFonts w:ascii="Arial" w:cs="Arial" w:eastAsia="Arial" w:hAnsi="Arial"/>
          <w:sz w:val="19"/>
          <w:szCs w:val="19"/>
          <w:color w:val="auto"/>
        </w:rPr>
      </w:pPr>
    </w:p>
    <w:p>
      <w:pPr>
        <w:ind w:right="80" w:firstLine="1735"/>
        <w:spacing w:after="0" w:line="277" w:lineRule="auto"/>
        <w:tabs>
          <w:tab w:leader="none" w:pos="2627" w:val="left"/>
        </w:tabs>
        <w:numPr>
          <w:ilvl w:val="2"/>
          <w:numId w:val="98"/>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the Executive with Good Reason</w:t>
      </w:r>
      <w:r>
        <w:rPr>
          <w:rFonts w:ascii="Arial" w:cs="Arial" w:eastAsia="Arial" w:hAnsi="Arial"/>
          <w:sz w:val="19"/>
          <w:szCs w:val="19"/>
          <w:color w:val="auto"/>
        </w:rPr>
        <w:t>. During the Term, if the Executive’s employment is terminated by the Company without Cause as provided in Section 3(d), or the Executive terminates her employment for Good Reason as provided in Section 3(e), then the Company shall pay the Executive her Accrued Benefit. In addition, subject to the Executive signing a separation agreement in a form satisfactory to the Company containing, among other provisions, a general release of claims in favor of the Company and related persons and entities, confidentiality, return of property and non-disparagement provisions, a reaffirmation of all of the Executive’s Continuing Obligations, a twelve-month post-employment noncompetition provision and a seven business-day revocation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9" w:name="page160"/>
    <w:bookmarkEnd w:id="159"/>
    <w:p>
      <w:pPr>
        <w:ind w:right="40"/>
        <w:spacing w:after="0" w:line="236" w:lineRule="auto"/>
        <w:rPr>
          <w:sz w:val="20"/>
          <w:szCs w:val="20"/>
          <w:color w:val="auto"/>
        </w:rPr>
      </w:pPr>
      <w:r>
        <w:rPr>
          <w:rFonts w:ascii="Arial" w:cs="Arial" w:eastAsia="Arial" w:hAnsi="Arial"/>
          <w:sz w:val="22"/>
          <w:szCs w:val="22"/>
          <w:color w:val="auto"/>
        </w:rPr>
        <w:t>period, and which provides that if the Executive breaches any of the Executive’s Continuing Obligations, all payments of the Severance Amount shall immediately cease (the “Separation Agreement and Release”) and the Separation Agreement and Release becoming irrevocable and fully effective and, if applicable, the Executive resigning as a member of the Board of Directors, all within 60 days after the Date of Termination (or such shorter time period provided in the Separation Agreement and Release):</w:t>
      </w:r>
    </w:p>
    <w:p>
      <w:pPr>
        <w:spacing w:after="0" w:line="187" w:lineRule="exact"/>
        <w:rPr>
          <w:sz w:val="20"/>
          <w:szCs w:val="20"/>
          <w:color w:val="auto"/>
        </w:rPr>
      </w:pPr>
    </w:p>
    <w:p>
      <w:pPr>
        <w:ind w:left="880" w:right="760" w:firstLine="1586"/>
        <w:spacing w:after="0" w:line="250" w:lineRule="auto"/>
        <w:tabs>
          <w:tab w:leader="none" w:pos="3326"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Company shall pay the Executive an amount equal to 0.75 times the sum of the Executive’s Base Salary (the “Severance Amount”);</w:t>
      </w:r>
    </w:p>
    <w:p>
      <w:pPr>
        <w:spacing w:after="0" w:line="174" w:lineRule="exact"/>
        <w:rPr>
          <w:rFonts w:ascii="Arial" w:cs="Arial" w:eastAsia="Arial" w:hAnsi="Arial"/>
          <w:sz w:val="22"/>
          <w:szCs w:val="22"/>
          <w:color w:val="auto"/>
        </w:rPr>
      </w:pPr>
    </w:p>
    <w:p>
      <w:pPr>
        <w:ind w:left="880" w:right="60" w:firstLine="1586"/>
        <w:spacing w:after="0" w:line="236" w:lineRule="auto"/>
        <w:tabs>
          <w:tab w:leader="none" w:pos="3386" w:val="left"/>
        </w:tabs>
        <w:numPr>
          <w:ilvl w:val="1"/>
          <w:numId w:val="99"/>
        </w:numPr>
        <w:rPr>
          <w:rFonts w:ascii="Arial" w:cs="Arial" w:eastAsia="Arial" w:hAnsi="Arial"/>
          <w:sz w:val="22"/>
          <w:szCs w:val="22"/>
          <w:color w:val="auto"/>
        </w:rPr>
      </w:pPr>
      <w:r>
        <w:rPr>
          <w:rFonts w:ascii="Arial" w:cs="Arial" w:eastAsia="Arial" w:hAnsi="Arial"/>
          <w:sz w:val="22"/>
          <w:szCs w:val="22"/>
          <w:color w:val="auto"/>
        </w:rPr>
        <w:t>notwithstanding anything to the contrary in any applicable option agreement or stock-based award agreement, all time-based stock options and other time-based stock-based awards held by the Executive in which such stock option or other stock-based award would have vested if the Executive had remained employed for an additional nine months following the Date of Termination shall vest and become exercisable or nonforfeitable as of the Date of Termination;</w:t>
      </w:r>
    </w:p>
    <w:p>
      <w:pPr>
        <w:spacing w:after="0" w:line="187" w:lineRule="exact"/>
        <w:rPr>
          <w:rFonts w:ascii="Arial" w:cs="Arial" w:eastAsia="Arial" w:hAnsi="Arial"/>
          <w:sz w:val="22"/>
          <w:szCs w:val="22"/>
          <w:color w:val="auto"/>
        </w:rPr>
      </w:pPr>
    </w:p>
    <w:p>
      <w:pPr>
        <w:ind w:left="880" w:right="140" w:firstLine="1586"/>
        <w:spacing w:after="0" w:line="282" w:lineRule="auto"/>
        <w:tabs>
          <w:tab w:leader="none" w:pos="3446" w:val="left"/>
        </w:tabs>
        <w:numPr>
          <w:ilvl w:val="1"/>
          <w:numId w:val="99"/>
        </w:numPr>
        <w:rPr>
          <w:rFonts w:ascii="Arial" w:cs="Arial" w:eastAsia="Arial" w:hAnsi="Arial"/>
          <w:sz w:val="19"/>
          <w:szCs w:val="19"/>
          <w:color w:val="auto"/>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 nine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147" w:lineRule="exact"/>
        <w:rPr>
          <w:rFonts w:ascii="Arial" w:cs="Arial" w:eastAsia="Arial" w:hAnsi="Arial"/>
          <w:sz w:val="19"/>
          <w:szCs w:val="19"/>
          <w:color w:val="auto"/>
        </w:rPr>
      </w:pPr>
    </w:p>
    <w:p>
      <w:pPr>
        <w:ind w:left="880" w:firstLine="1586"/>
        <w:spacing w:after="0" w:line="277" w:lineRule="auto"/>
        <w:tabs>
          <w:tab w:leader="none" w:pos="3434"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amounts payable under Section 4(b)(i) and (iii) shall be paid out in substantially equal installments in accordance with the Company’s payroll practice over nine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 and</w:t>
      </w:r>
    </w:p>
    <w:p>
      <w:pPr>
        <w:spacing w:after="0" w:line="151" w:lineRule="exact"/>
        <w:rPr>
          <w:rFonts w:ascii="Arial" w:cs="Arial" w:eastAsia="Arial" w:hAnsi="Arial"/>
          <w:sz w:val="19"/>
          <w:szCs w:val="19"/>
          <w:color w:val="auto"/>
        </w:rPr>
      </w:pPr>
    </w:p>
    <w:p>
      <w:pPr>
        <w:ind w:left="880" w:right="180" w:firstLine="1586"/>
        <w:spacing w:after="0"/>
        <w:tabs>
          <w:tab w:leader="none" w:pos="3374"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Severance Amount which Executive is paid or for which Executive is eligible in any calendar year shall be reduced by the amount of Garden Leave Pay (as defined in the Restrictive Covenants Agreement) paid to Executive in such calendar year.</w:t>
      </w:r>
    </w:p>
    <w:p>
      <w:pPr>
        <w:spacing w:after="0" w:line="186" w:lineRule="exact"/>
        <w:rPr>
          <w:rFonts w:ascii="Arial" w:cs="Arial" w:eastAsia="Arial" w:hAnsi="Arial"/>
          <w:sz w:val="22"/>
          <w:szCs w:val="22"/>
          <w:color w:val="auto"/>
        </w:rPr>
      </w:pPr>
    </w:p>
    <w:p>
      <w:pPr>
        <w:ind w:right="120" w:firstLine="872"/>
        <w:spacing w:after="0" w:line="249" w:lineRule="auto"/>
        <w:tabs>
          <w:tab w:leader="none" w:pos="1674"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Change in Control Payment</w:t>
      </w:r>
      <w:r>
        <w:rPr>
          <w:rFonts w:ascii="Arial" w:cs="Arial" w:eastAsia="Arial" w:hAnsi="Arial"/>
          <w:sz w:val="21"/>
          <w:szCs w:val="21"/>
          <w:color w:val="auto"/>
        </w:rPr>
        <w:t>. The provisions of this Section 5 set forth certain terms of an agreement reached between the Executive and the Company regarding the Executive’s rights and obligations upon the occurrence of a Change in Control of the Company. These provisions are intended to assure and encourage in advance the Executive’s continued attention and dedication to her assigned duties and her objectivity during the pendency and after the occurrence of any such event. These provisions shall apply in lieu of, and expressly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0" w:name="page161"/>
    <w:bookmarkEnd w:id="160"/>
    <w:p>
      <w:pPr>
        <w:ind w:right="120"/>
        <w:spacing w:after="0" w:line="238" w:lineRule="auto"/>
        <w:rPr>
          <w:sz w:val="20"/>
          <w:szCs w:val="20"/>
          <w:color w:val="auto"/>
        </w:rPr>
      </w:pPr>
      <w:r>
        <w:rPr>
          <w:rFonts w:ascii="Arial" w:cs="Arial" w:eastAsia="Arial" w:hAnsi="Arial"/>
          <w:sz w:val="22"/>
          <w:szCs w:val="22"/>
          <w:color w:val="auto"/>
        </w:rPr>
        <w:t>supersede, the provisions of Section 4(b) regarding severance pay and benefits upon a termination of employment, if such termination of employment occurs within three months prior to or 18 months after the occurrence of the first event constituting a Change in Control. These provisions shall terminate and be of no further force or effect beginning 18 months after the occurrence of a Change in Control.</w:t>
      </w:r>
    </w:p>
    <w:p>
      <w:pPr>
        <w:spacing w:after="0" w:line="185" w:lineRule="exact"/>
        <w:rPr>
          <w:sz w:val="20"/>
          <w:szCs w:val="20"/>
          <w:color w:val="auto"/>
        </w:rPr>
      </w:pPr>
    </w:p>
    <w:p>
      <w:pPr>
        <w:ind w:firstLine="1735"/>
        <w:spacing w:after="0" w:line="248" w:lineRule="auto"/>
        <w:tabs>
          <w:tab w:leader="none" w:pos="2615"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During the Term, if within three months prior to or 18 months after a Change in Control, the Executive’s employment is terminated by the Company without Cause as provided in Section 3(d) or the Executive terminates her employment for Good Reason as provided in Section 3(e), then, subject to the signing of the Separation Agreement and Release by the Executive and the Separation Agreement and Release becoming irrevocable and fully effective and, if applicable, the Executive resigning as a member of the Board of Directors, all within 60 days after the Date of Termination (or such shorter time period provided in the Separation Agreement and Release):</w:t>
      </w:r>
    </w:p>
    <w:p>
      <w:pPr>
        <w:spacing w:after="0" w:line="176" w:lineRule="exact"/>
        <w:rPr>
          <w:rFonts w:ascii="Arial" w:cs="Arial" w:eastAsia="Arial" w:hAnsi="Arial"/>
          <w:sz w:val="21"/>
          <w:szCs w:val="21"/>
          <w:color w:val="auto"/>
        </w:rPr>
      </w:pPr>
    </w:p>
    <w:p>
      <w:pPr>
        <w:ind w:left="880" w:right="160" w:firstLine="1586"/>
        <w:spacing w:after="0" w:line="238" w:lineRule="auto"/>
        <w:tabs>
          <w:tab w:leader="none" w:pos="3326"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Company shall pay the Executive a lump sum in cash in an amount equal to one times the sum of (A) the Executive’s current Base Salary (or the Executive’s Base Salary in effect immediately prior to the Change in Control, if higher) and (B) the Executive’s Target Annual Incentive Compensation then in effect (together the “Change in Control Payment”);</w:t>
      </w:r>
    </w:p>
    <w:p>
      <w:pPr>
        <w:spacing w:after="0" w:line="184" w:lineRule="exact"/>
        <w:rPr>
          <w:rFonts w:ascii="Arial" w:cs="Arial" w:eastAsia="Arial" w:hAnsi="Arial"/>
          <w:sz w:val="22"/>
          <w:szCs w:val="22"/>
          <w:color w:val="auto"/>
        </w:rPr>
      </w:pPr>
    </w:p>
    <w:p>
      <w:pPr>
        <w:ind w:left="880" w:right="280" w:firstLine="1586"/>
        <w:spacing w:after="0" w:line="297" w:lineRule="auto"/>
        <w:tabs>
          <w:tab w:leader="none" w:pos="338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notwithstanding anything to the contrary in any applicable option agreement or stock-based award agreement, all time-based stock options and other time-based stock-based awards held by the Executive shall immediately accelerate and become fully exercisable or nonforfeitable as of the Date of Termination;</w:t>
      </w:r>
    </w:p>
    <w:p>
      <w:pPr>
        <w:spacing w:after="0" w:line="133" w:lineRule="exact"/>
        <w:rPr>
          <w:rFonts w:ascii="Arial" w:cs="Arial" w:eastAsia="Arial" w:hAnsi="Arial"/>
          <w:sz w:val="19"/>
          <w:szCs w:val="19"/>
          <w:color w:val="auto"/>
        </w:rPr>
      </w:pPr>
    </w:p>
    <w:p>
      <w:pPr>
        <w:ind w:left="880" w:right="80" w:firstLine="1586"/>
        <w:spacing w:after="0" w:line="282" w:lineRule="auto"/>
        <w:tabs>
          <w:tab w:leader="none" w:pos="344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 twelve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147" w:lineRule="exact"/>
        <w:rPr>
          <w:rFonts w:ascii="Arial" w:cs="Arial" w:eastAsia="Arial" w:hAnsi="Arial"/>
          <w:sz w:val="19"/>
          <w:szCs w:val="19"/>
          <w:color w:val="auto"/>
        </w:rPr>
      </w:pPr>
    </w:p>
    <w:p>
      <w:pPr>
        <w:ind w:left="880" w:right="100" w:firstLine="1586"/>
        <w:spacing w:after="0" w:line="238" w:lineRule="auto"/>
        <w:tabs>
          <w:tab w:leader="none" w:pos="343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amounts payable under Section 5(a)(i) and (iii)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 and</w:t>
      </w:r>
    </w:p>
    <w:p>
      <w:pPr>
        <w:spacing w:after="0" w:line="184" w:lineRule="exact"/>
        <w:rPr>
          <w:rFonts w:ascii="Arial" w:cs="Arial" w:eastAsia="Arial" w:hAnsi="Arial"/>
          <w:sz w:val="22"/>
          <w:szCs w:val="22"/>
          <w:color w:val="auto"/>
        </w:rPr>
      </w:pPr>
    </w:p>
    <w:p>
      <w:pPr>
        <w:ind w:left="880" w:right="20" w:firstLine="1586"/>
        <w:spacing w:after="0"/>
        <w:tabs>
          <w:tab w:leader="none" w:pos="337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Change in Control Payment which Executive is paid or for which Executive is eligible in any calendar year shall be reduced by the amount of Garden Leave Pay (as defined in the Restrictive Covenants Agreement) paid to Executive in such calendar year.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1" w:name="page162"/>
    <w:bookmarkEnd w:id="161"/>
    <w:p>
      <w:pPr>
        <w:ind w:left="1520" w:hanging="905"/>
        <w:spacing w:after="0"/>
        <w:tabs>
          <w:tab w:leader="none" w:pos="152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Additional Limitation.</w:t>
      </w:r>
    </w:p>
    <w:p>
      <w:pPr>
        <w:spacing w:after="0" w:line="206" w:lineRule="exact"/>
        <w:rPr>
          <w:rFonts w:ascii="Arial" w:cs="Arial" w:eastAsia="Arial" w:hAnsi="Arial"/>
          <w:sz w:val="22"/>
          <w:szCs w:val="22"/>
          <w:color w:val="auto"/>
        </w:rPr>
      </w:pPr>
    </w:p>
    <w:p>
      <w:pPr>
        <w:ind w:left="-240" w:firstLine="1586"/>
        <w:spacing w:after="0" w:line="271" w:lineRule="auto"/>
        <w:tabs>
          <w:tab w:leader="none" w:pos="220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56" w:lineRule="exact"/>
        <w:rPr>
          <w:rFonts w:ascii="Arial" w:cs="Arial" w:eastAsia="Arial" w:hAnsi="Arial"/>
          <w:sz w:val="19"/>
          <w:szCs w:val="19"/>
          <w:color w:val="auto"/>
        </w:rPr>
      </w:pPr>
    </w:p>
    <w:p>
      <w:pPr>
        <w:ind w:left="-240" w:firstLine="1586"/>
        <w:spacing w:after="0" w:line="277" w:lineRule="auto"/>
        <w:tabs>
          <w:tab w:leader="none" w:pos="226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1" w:lineRule="exact"/>
        <w:rPr>
          <w:rFonts w:ascii="Arial" w:cs="Arial" w:eastAsia="Arial" w:hAnsi="Arial"/>
          <w:sz w:val="19"/>
          <w:szCs w:val="19"/>
          <w:color w:val="auto"/>
        </w:rPr>
      </w:pPr>
    </w:p>
    <w:p>
      <w:pPr>
        <w:ind w:left="-240" w:firstLine="1586"/>
        <w:spacing w:after="0" w:line="235" w:lineRule="auto"/>
        <w:tabs>
          <w:tab w:leader="none" w:pos="2326"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00"/>
          </w:cols>
          <w:pgMar w:left="1440" w:top="334" w:right="359" w:bottom="1440" w:gutter="0" w:footer="0" w:header="0"/>
        </w:sectPr>
      </w:pPr>
    </w:p>
    <w:bookmarkStart w:id="162" w:name="page163"/>
    <w:bookmarkEnd w:id="162"/>
    <w:p>
      <w:pPr>
        <w:ind w:left="880" w:firstLine="855"/>
        <w:spacing w:after="0" w:line="435" w:lineRule="auto"/>
        <w:tabs>
          <w:tab w:leader="none" w:pos="2631"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Section 5, the following terms shall have the following meanings: “Change in Control” shall mean any of the following:</w:t>
      </w:r>
    </w:p>
    <w:p>
      <w:pPr>
        <w:ind w:left="880" w:right="80" w:firstLine="1586"/>
        <w:spacing w:after="0" w:line="275" w:lineRule="auto"/>
        <w:tabs>
          <w:tab w:leader="none" w:pos="3326" w:val="left"/>
        </w:tabs>
        <w:numPr>
          <w:ilvl w:val="1"/>
          <w:numId w:val="103"/>
        </w:numPr>
        <w:rPr>
          <w:rFonts w:ascii="Arial" w:cs="Arial" w:eastAsia="Arial" w:hAnsi="Arial"/>
          <w:sz w:val="19"/>
          <w:szCs w:val="19"/>
          <w:color w:val="auto"/>
        </w:rPr>
      </w:pPr>
      <w:r>
        <w:rPr>
          <w:rFonts w:ascii="Arial" w:cs="Arial" w:eastAsia="Arial" w:hAnsi="Arial"/>
          <w:sz w:val="19"/>
          <w:szCs w:val="19"/>
          <w:color w:val="auto"/>
        </w:rPr>
        <w:t>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(“Voting Securities”) (in such case other than as a result of an acquisition of securities directly from the Company); or</w:t>
      </w:r>
    </w:p>
    <w:p>
      <w:pPr>
        <w:spacing w:after="0" w:line="157" w:lineRule="exact"/>
        <w:rPr>
          <w:rFonts w:ascii="Arial" w:cs="Arial" w:eastAsia="Arial" w:hAnsi="Arial"/>
          <w:sz w:val="19"/>
          <w:szCs w:val="19"/>
          <w:color w:val="auto"/>
        </w:rPr>
      </w:pPr>
    </w:p>
    <w:p>
      <w:pPr>
        <w:jc w:val="both"/>
        <w:ind w:left="880" w:right="180" w:firstLine="1586"/>
        <w:spacing w:after="0"/>
        <w:tabs>
          <w:tab w:leader="none" w:pos="338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the date a majority of the members of the Board is replaced during any 12-month period by directors whose appointment or election is not endorsed by a majority of the members of the Board before the date of the appointment or election; or</w:t>
      </w:r>
    </w:p>
    <w:p>
      <w:pPr>
        <w:spacing w:after="0" w:line="186" w:lineRule="exact"/>
        <w:rPr>
          <w:rFonts w:ascii="Arial" w:cs="Arial" w:eastAsia="Arial" w:hAnsi="Arial"/>
          <w:sz w:val="22"/>
          <w:szCs w:val="22"/>
          <w:color w:val="auto"/>
        </w:rPr>
      </w:pPr>
    </w:p>
    <w:p>
      <w:pPr>
        <w:ind w:left="880" w:right="160" w:firstLine="1586"/>
        <w:spacing w:after="0" w:line="246" w:lineRule="auto"/>
        <w:tabs>
          <w:tab w:leader="none" w:pos="3446" w:val="left"/>
        </w:tabs>
        <w:numPr>
          <w:ilvl w:val="1"/>
          <w:numId w:val="103"/>
        </w:numPr>
        <w:rPr>
          <w:rFonts w:ascii="Arial" w:cs="Arial" w:eastAsia="Arial" w:hAnsi="Arial"/>
          <w:sz w:val="21"/>
          <w:szCs w:val="21"/>
          <w:color w:val="auto"/>
        </w:rPr>
      </w:pPr>
      <w:r>
        <w:rPr>
          <w:rFonts w:ascii="Arial" w:cs="Arial" w:eastAsia="Arial" w:hAnsi="Arial"/>
          <w:sz w:val="21"/>
          <w:szCs w:val="21"/>
          <w:color w:val="auto"/>
        </w:rPr>
        <w:t>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pacing w:after="0" w:line="184" w:lineRule="exact"/>
        <w:rPr>
          <w:sz w:val="20"/>
          <w:szCs w:val="20"/>
          <w:color w:val="auto"/>
        </w:rPr>
      </w:pPr>
    </w:p>
    <w:p>
      <w:pPr>
        <w:ind w:right="60" w:firstLine="864"/>
        <w:spacing w:after="0" w:line="245" w:lineRule="auto"/>
        <w:rPr>
          <w:sz w:val="20"/>
          <w:szCs w:val="20"/>
          <w:color w:val="auto"/>
        </w:rPr>
      </w:pPr>
      <w:r>
        <w:rPr>
          <w:rFonts w:ascii="Arial" w:cs="Arial" w:eastAsia="Arial" w:hAnsi="Arial"/>
          <w:sz w:val="21"/>
          <w:szCs w:val="21"/>
          <w:color w:val="auto"/>
        </w:rPr>
        <w:t>Notwithstanding the foregoing, a “Change in Control” shall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shall be deemed to have occurred for purposes of the foregoing clause (i).</w:t>
      </w:r>
    </w:p>
    <w:p>
      <w:pPr>
        <w:spacing w:after="0" w:line="184" w:lineRule="exact"/>
        <w:rPr>
          <w:sz w:val="20"/>
          <w:szCs w:val="20"/>
          <w:color w:val="auto"/>
        </w:rPr>
      </w:pPr>
    </w:p>
    <w:p>
      <w:pPr>
        <w:ind w:left="1680" w:hanging="808"/>
        <w:spacing w:after="0"/>
        <w:tabs>
          <w:tab w:leader="none" w:pos="168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600" w:firstLine="1735"/>
        <w:spacing w:after="0" w:line="250" w:lineRule="auto"/>
        <w:tabs>
          <w:tab w:leader="none" w:pos="2615" w:val="left"/>
        </w:tabs>
        <w:numPr>
          <w:ilvl w:val="1"/>
          <w:numId w:val="104"/>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if at the time of the Executive’s separation from service within the meaning of Section 409A of the Code,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63" w:name="page164"/>
    <w:bookmarkEnd w:id="163"/>
    <w:p>
      <w:pPr>
        <w:ind w:right="120"/>
        <w:spacing w:after="0" w:line="274" w:lineRule="auto"/>
        <w:rPr>
          <w:sz w:val="20"/>
          <w:szCs w:val="20"/>
          <w:color w:val="auto"/>
        </w:rPr>
      </w:pPr>
      <w:r>
        <w:rPr>
          <w:rFonts w:ascii="Arial" w:cs="Arial" w:eastAsia="Arial" w:hAnsi="Arial"/>
          <w:sz w:val="19"/>
          <w:szCs w:val="19"/>
          <w:color w:val="auto"/>
        </w:rPr>
        <w:t>Company determines that the Executive is a “specified employee” within the meaning of Section 409A(a)(2)(B)(i) of the Code, then to the extent any payment or benefit that the Executive becomes entitled to under this Agreement or the Restrictive Covenants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58" w:lineRule="exact"/>
        <w:rPr>
          <w:sz w:val="20"/>
          <w:szCs w:val="20"/>
          <w:color w:val="auto"/>
        </w:rPr>
      </w:pPr>
    </w:p>
    <w:p>
      <w:pPr>
        <w:ind w:right="120" w:firstLine="1735"/>
        <w:spacing w:after="0" w:line="277" w:lineRule="auto"/>
        <w:tabs>
          <w:tab w:leader="none" w:pos="262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1" w:lineRule="exact"/>
        <w:rPr>
          <w:rFonts w:ascii="Arial" w:cs="Arial" w:eastAsia="Arial" w:hAnsi="Arial"/>
          <w:sz w:val="19"/>
          <w:szCs w:val="19"/>
          <w:color w:val="auto"/>
        </w:rPr>
      </w:pPr>
    </w:p>
    <w:p>
      <w:pPr>
        <w:ind w:right="60" w:firstLine="1735"/>
        <w:spacing w:after="0" w:line="249" w:lineRule="exact"/>
        <w:tabs>
          <w:tab w:leader="none" w:pos="261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To the extent that any payment or benefit described in this Agreement or the Restrictive Covenants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19"/>
          <w:szCs w:val="19"/>
          <w:color w:val="auto"/>
        </w:rPr>
        <w:t>‑</w:t>
      </w:r>
      <w:r>
        <w:rPr>
          <w:rFonts w:ascii="Arial" w:cs="Arial" w:eastAsia="Arial" w:hAnsi="Arial"/>
          <w:sz w:val="19"/>
          <w:szCs w:val="19"/>
          <w:color w:val="auto"/>
        </w:rPr>
        <w:t>1(h).</w:t>
      </w:r>
    </w:p>
    <w:p>
      <w:pPr>
        <w:spacing w:after="0" w:line="188" w:lineRule="exact"/>
        <w:rPr>
          <w:rFonts w:ascii="Arial" w:cs="Arial" w:eastAsia="Arial" w:hAnsi="Arial"/>
          <w:sz w:val="19"/>
          <w:szCs w:val="19"/>
          <w:color w:val="auto"/>
        </w:rPr>
      </w:pPr>
    </w:p>
    <w:p>
      <w:pPr>
        <w:ind w:firstLine="1735"/>
        <w:spacing w:after="0" w:line="247" w:lineRule="exact"/>
        <w:tabs>
          <w:tab w:leader="none" w:pos="262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parties intend that this Agreement will be administered in accordance with Section 409A of the Code. To the extent that any provision of this Agreement or the Restrictive Covenants Agreement is ambiguous as to its compliance with Section 409A of the Code, the provision shall be read in such a manner so that all payments hereunder comply with Section 409A of the Code. Each payment pursuant to this Agreement or and the Restrictive Covenants Agreement is intended to constitute a separate payment for purposes of Treasury Regulation Section 1.409A</w:t>
      </w:r>
      <w:r>
        <w:rPr>
          <w:rFonts w:ascii="MS PGothic" w:cs="MS PGothic" w:eastAsia="MS PGothic" w:hAnsi="MS PGothic"/>
          <w:sz w:val="19"/>
          <w:szCs w:val="19"/>
          <w:color w:val="auto"/>
        </w:rPr>
        <w:t>‑</w:t>
      </w:r>
      <w:r>
        <w:rPr>
          <w:rFonts w:ascii="Arial" w:cs="Arial" w:eastAsia="Arial" w:hAnsi="Arial"/>
          <w:sz w:val="19"/>
          <w:szCs w:val="19"/>
          <w:color w:val="auto"/>
        </w:rPr>
        <w:t>2(b)(2). The parties agree that this Agreement and the Restrictive Covenants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6" w:lineRule="exact"/>
        <w:rPr>
          <w:rFonts w:ascii="Arial" w:cs="Arial" w:eastAsia="Arial" w:hAnsi="Arial"/>
          <w:sz w:val="19"/>
          <w:szCs w:val="19"/>
          <w:color w:val="auto"/>
        </w:rPr>
      </w:pPr>
    </w:p>
    <w:p>
      <w:pPr>
        <w:ind w:right="180" w:firstLine="1735"/>
        <w:spacing w:after="0" w:line="250" w:lineRule="auto"/>
        <w:tabs>
          <w:tab w:leader="none" w:pos="261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Company makes no representation or warranty and shall have no liability to the Executive or any other person if any provisions of this Agreement are determined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64" w:name="page165"/>
    <w:bookmarkEnd w:id="164"/>
    <w:p>
      <w:pPr>
        <w:ind w:right="120"/>
        <w:spacing w:after="0" w:line="250" w:lineRule="auto"/>
        <w:rPr>
          <w:sz w:val="20"/>
          <w:szCs w:val="20"/>
          <w:color w:val="auto"/>
        </w:rPr>
      </w:pPr>
      <w:r>
        <w:rPr>
          <w:rFonts w:ascii="Arial" w:cs="Arial" w:eastAsia="Arial" w:hAnsi="Arial"/>
          <w:sz w:val="22"/>
          <w:szCs w:val="22"/>
          <w:color w:val="auto"/>
        </w:rPr>
        <w:t>to constitute deferred compensation subject to Section 409A of the Code but do not satisfy an exemption from, or the conditions of, such Section.</w:t>
      </w:r>
    </w:p>
    <w:p>
      <w:pPr>
        <w:spacing w:after="0" w:line="175" w:lineRule="exact"/>
        <w:rPr>
          <w:sz w:val="20"/>
          <w:szCs w:val="20"/>
          <w:color w:val="auto"/>
        </w:rPr>
      </w:pPr>
    </w:p>
    <w:p>
      <w:pPr>
        <w:ind w:left="1680" w:hanging="808"/>
        <w:spacing w:after="0"/>
        <w:tabs>
          <w:tab w:leader="none" w:pos="168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Nonsolicitation and Cooperation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40" w:firstLine="1735"/>
        <w:spacing w:after="0" w:line="234" w:lineRule="auto"/>
        <w:tabs>
          <w:tab w:leader="none" w:pos="2615" w:val="left"/>
        </w:tabs>
        <w:numPr>
          <w:ilvl w:val="1"/>
          <w:numId w:val="106"/>
        </w:numPr>
        <w:rPr>
          <w:rFonts w:ascii="Arial" w:cs="Arial" w:eastAsia="Arial" w:hAnsi="Arial"/>
          <w:sz w:val="22"/>
          <w:szCs w:val="22"/>
          <w:color w:val="auto"/>
        </w:rPr>
      </w:pPr>
      <w:r>
        <w:rPr>
          <w:rFonts w:ascii="Arial" w:cs="Arial" w:eastAsia="Arial" w:hAnsi="Arial"/>
          <w:sz w:val="22"/>
          <w:szCs w:val="22"/>
          <w:u w:val="single" w:color="auto"/>
          <w:color w:val="auto"/>
        </w:rPr>
        <w:t>Restrictive Covenants Agreement</w:t>
      </w:r>
      <w:r>
        <w:rPr>
          <w:rFonts w:ascii="Arial" w:cs="Arial" w:eastAsia="Arial" w:hAnsi="Arial"/>
          <w:sz w:val="22"/>
          <w:szCs w:val="22"/>
          <w:color w:val="auto"/>
        </w:rPr>
        <w:t xml:space="preserve">. The Executive acknowledges and agrees that in consideration and as a condition of the Executive’s employment by the Company and in exchange for, among other things, the benefits contained in this Agreement, the Executive will enter into the Restrictive Covenants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the terms of which are incorporated by reference as material terms of this Agreement. For purposes of this Agreement, the obligations in this Section 7 and those that arise in the Restrictive Covenants Agreement and any other agreement relating to confidentiality, assignment of inventions, or other restrictive covenants shall collectively be referred to as the “Continuing Obligations.”</w:t>
      </w:r>
    </w:p>
    <w:p>
      <w:pPr>
        <w:spacing w:after="0" w:line="190" w:lineRule="exact"/>
        <w:rPr>
          <w:rFonts w:ascii="Arial" w:cs="Arial" w:eastAsia="Arial" w:hAnsi="Arial"/>
          <w:sz w:val="22"/>
          <w:szCs w:val="22"/>
          <w:color w:val="auto"/>
        </w:rPr>
      </w:pPr>
    </w:p>
    <w:p>
      <w:pPr>
        <w:ind w:firstLine="1735"/>
        <w:spacing w:after="0" w:line="245" w:lineRule="auto"/>
        <w:tabs>
          <w:tab w:leader="none" w:pos="2627" w:val="left"/>
        </w:tabs>
        <w:numPr>
          <w:ilvl w:val="1"/>
          <w:numId w:val="106"/>
        </w:numPr>
        <w:rPr>
          <w:rFonts w:ascii="Arial" w:cs="Arial" w:eastAsia="Arial" w:hAnsi="Arial"/>
          <w:sz w:val="21"/>
          <w:szCs w:val="21"/>
          <w:color w:val="auto"/>
        </w:rPr>
      </w:pPr>
      <w:r>
        <w:rPr>
          <w:rFonts w:ascii="Arial" w:cs="Arial" w:eastAsia="Arial" w:hAnsi="Arial"/>
          <w:sz w:val="21"/>
          <w:szCs w:val="21"/>
          <w:u w:val="single" w:color="auto"/>
          <w:color w:val="auto"/>
        </w:rPr>
        <w:t>Third-Party Agreements and Rights</w:t>
      </w:r>
      <w:r>
        <w:rPr>
          <w:rFonts w:ascii="Arial" w:cs="Arial" w:eastAsia="Arial" w:hAnsi="Arial"/>
          <w:sz w:val="21"/>
          <w:szCs w:val="21"/>
          <w:color w:val="auto"/>
        </w:rPr>
        <w:t>.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84" w:lineRule="exact"/>
        <w:rPr>
          <w:rFonts w:ascii="Arial" w:cs="Arial" w:eastAsia="Arial" w:hAnsi="Arial"/>
          <w:sz w:val="21"/>
          <w:szCs w:val="21"/>
          <w:color w:val="auto"/>
        </w:rPr>
      </w:pPr>
    </w:p>
    <w:p>
      <w:pPr>
        <w:ind w:right="40" w:firstLine="1735"/>
        <w:spacing w:after="0" w:line="246" w:lineRule="exact"/>
        <w:tabs>
          <w:tab w:leader="none" w:pos="2615" w:val="left"/>
        </w:tabs>
        <w:numPr>
          <w:ilvl w:val="1"/>
          <w:numId w:val="106"/>
        </w:numPr>
        <w:rPr>
          <w:rFonts w:ascii="Arial" w:cs="Arial" w:eastAsia="Arial" w:hAnsi="Arial"/>
          <w:sz w:val="19"/>
          <w:szCs w:val="19"/>
          <w:color w:val="auto"/>
        </w:rPr>
      </w:pPr>
      <w:r>
        <w:rPr>
          <w:rFonts w:ascii="Arial" w:cs="Arial" w:eastAsia="Arial" w:hAnsi="Arial"/>
          <w:sz w:val="19"/>
          <w:szCs w:val="19"/>
          <w:u w:val="single" w:color="auto"/>
          <w:color w:val="auto"/>
        </w:rPr>
        <w:t>Litigation and Regulatory Cooperation</w:t>
      </w:r>
      <w:r>
        <w:rPr>
          <w:rFonts w:ascii="Arial" w:cs="Arial" w:eastAsia="Arial" w:hAnsi="Arial"/>
          <w:sz w:val="19"/>
          <w:szCs w:val="19"/>
          <w:color w:val="auto"/>
        </w:rPr>
        <w:t>.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taking into consideration Executive’s then current business and personal commitments.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in connection with the Executive’s performance of obligations pursuant to this Section 7(c).</w:t>
      </w:r>
    </w:p>
    <w:p>
      <w:pPr>
        <w:spacing w:after="0" w:line="185" w:lineRule="exact"/>
        <w:rPr>
          <w:rFonts w:ascii="Arial" w:cs="Arial" w:eastAsia="Arial" w:hAnsi="Arial"/>
          <w:sz w:val="19"/>
          <w:szCs w:val="19"/>
          <w:color w:val="auto"/>
        </w:rPr>
      </w:pPr>
    </w:p>
    <w:p>
      <w:pPr>
        <w:ind w:right="140" w:firstLine="1735"/>
        <w:spacing w:after="0" w:line="252" w:lineRule="auto"/>
        <w:tabs>
          <w:tab w:leader="none" w:pos="2627" w:val="left"/>
        </w:tabs>
        <w:numPr>
          <w:ilvl w:val="1"/>
          <w:numId w:val="106"/>
        </w:numPr>
        <w:rPr>
          <w:rFonts w:ascii="Arial" w:cs="Arial" w:eastAsia="Arial" w:hAnsi="Arial"/>
          <w:sz w:val="21"/>
          <w:szCs w:val="21"/>
          <w:color w:val="auto"/>
        </w:rPr>
      </w:pPr>
      <w:r>
        <w:rPr>
          <w:rFonts w:ascii="Arial" w:cs="Arial" w:eastAsia="Arial" w:hAnsi="Arial"/>
          <w:sz w:val="21"/>
          <w:szCs w:val="21"/>
          <w:u w:val="single" w:color="auto"/>
          <w:color w:val="auto"/>
        </w:rPr>
        <w:t>Relief</w:t>
      </w:r>
      <w:r>
        <w:rPr>
          <w:rFonts w:ascii="Arial" w:cs="Arial" w:eastAsia="Arial" w:hAnsi="Arial"/>
          <w:sz w:val="21"/>
          <w:szCs w:val="21"/>
          <w:color w:val="auto"/>
        </w:rPr>
        <w:t>. The Executive agrees that it would be difficult to measure any damages caused to the Company which might result from any breach by the Executive of the promises incorporated into or set forth in this Section 7, and that in any event money damages would be an inadequate remedy for any such breach. Accordingly, subject to Section 8 of this Agreement, the Executive agrees that if the Executive breaches, or proposes to breach, any</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65" w:name="page166"/>
    <w:bookmarkEnd w:id="165"/>
    <w:p>
      <w:pPr>
        <w:spacing w:after="0" w:line="279" w:lineRule="auto"/>
        <w:rPr>
          <w:sz w:val="20"/>
          <w:szCs w:val="20"/>
          <w:color w:val="auto"/>
        </w:rPr>
      </w:pPr>
      <w:r>
        <w:rPr>
          <w:rFonts w:ascii="Arial" w:cs="Arial" w:eastAsia="Arial" w:hAnsi="Arial"/>
          <w:sz w:val="19"/>
          <w:szCs w:val="19"/>
          <w:color w:val="auto"/>
        </w:rPr>
        <w:t>portion of this Agreement, the Company shall be entitled, in addition to all other remedies that it may have, to seek an injunction or other appropriate equitable relief to restrain any such breach without showing or proving any actual damage to the Company. In addition, in the event the Executive breaches this Section 7 or the provisions incorporated herein during a period when he is receiving severance payments pursuant to Section 4 or Section 5 hereof, the Company shall have the right to suspend or terminate such severance payments. Such suspension or termination shall not limit the Company’s other options with respect to relief for such breach and shall not relieve the Executive of her duties under this Agreement.</w:t>
      </w:r>
    </w:p>
    <w:p>
      <w:pPr>
        <w:spacing w:after="0" w:line="150" w:lineRule="exact"/>
        <w:rPr>
          <w:sz w:val="20"/>
          <w:szCs w:val="20"/>
          <w:color w:val="auto"/>
        </w:rPr>
      </w:pPr>
    </w:p>
    <w:p>
      <w:pPr>
        <w:ind w:right="80" w:firstLine="1735"/>
        <w:spacing w:after="0"/>
        <w:tabs>
          <w:tab w:leader="none" w:pos="2615"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Protected Disclosures and Other Protected Action</w:t>
      </w:r>
      <w:r>
        <w:rPr>
          <w:rFonts w:ascii="Arial" w:cs="Arial" w:eastAsia="Arial" w:hAnsi="Arial"/>
          <w:sz w:val="22"/>
          <w:szCs w:val="22"/>
          <w:color w:val="auto"/>
        </w:rPr>
        <w:t>. Nothing contained in this Agreement limits the Executive’s ability to communicate with any federal, state or local governmental agency or commission, including to provide documents or other information, without notice to the Company.</w:t>
      </w:r>
    </w:p>
    <w:p>
      <w:pPr>
        <w:spacing w:after="0" w:line="186" w:lineRule="exact"/>
        <w:rPr>
          <w:rFonts w:ascii="Arial" w:cs="Arial" w:eastAsia="Arial" w:hAnsi="Arial"/>
          <w:sz w:val="22"/>
          <w:szCs w:val="22"/>
          <w:color w:val="auto"/>
        </w:rPr>
      </w:pPr>
    </w:p>
    <w:p>
      <w:pPr>
        <w:ind w:right="180" w:firstLine="872"/>
        <w:spacing w:after="0" w:line="272" w:lineRule="auto"/>
        <w:tabs>
          <w:tab w:leader="none" w:pos="1674"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Arbitration of Disputes</w:t>
      </w:r>
      <w:r>
        <w:rPr>
          <w:rFonts w:ascii="Arial" w:cs="Arial" w:eastAsia="Arial" w:hAnsi="Arial"/>
          <w:sz w:val="19"/>
          <w:szCs w:val="19"/>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enforcing the Restrictive Covenants Agreement or obtaining a temporary restraining order or a preliminary injunction in circumstances in which such relief is appropriate; provided that any other relief shall be pursued through an arbitration proceeding pursuant to this Section 8.</w:t>
      </w:r>
    </w:p>
    <w:p>
      <w:pPr>
        <w:spacing w:after="0" w:line="155" w:lineRule="exact"/>
        <w:rPr>
          <w:rFonts w:ascii="Arial" w:cs="Arial" w:eastAsia="Arial" w:hAnsi="Arial"/>
          <w:sz w:val="19"/>
          <w:szCs w:val="19"/>
          <w:color w:val="auto"/>
        </w:rPr>
      </w:pPr>
    </w:p>
    <w:p>
      <w:pPr>
        <w:ind w:firstLine="872"/>
        <w:spacing w:after="0" w:line="282" w:lineRule="auto"/>
        <w:tabs>
          <w:tab w:leader="none" w:pos="1674"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Consent to Jurisdiction</w:t>
      </w:r>
      <w:r>
        <w:rPr>
          <w:rFonts w:ascii="Arial" w:cs="Arial" w:eastAsia="Arial" w:hAnsi="Arial"/>
          <w:sz w:val="19"/>
          <w:szCs w:val="19"/>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47" w:lineRule="exact"/>
        <w:rPr>
          <w:rFonts w:ascii="Arial" w:cs="Arial" w:eastAsia="Arial" w:hAnsi="Arial"/>
          <w:sz w:val="19"/>
          <w:szCs w:val="19"/>
          <w:color w:val="auto"/>
        </w:rPr>
      </w:pPr>
    </w:p>
    <w:p>
      <w:pPr>
        <w:ind w:right="260" w:firstLine="872"/>
        <w:spacing w:after="0"/>
        <w:tabs>
          <w:tab w:leader="none" w:pos="1782"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Restrictive Covenants Agreement constitute the entire agreement between the parties with respect to the subject matter hereof and supersede all prior agreements between the parties concerning such subject matter, including without the limitation the Offer Letter.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6" w:name="page167"/>
    <w:bookmarkEnd w:id="166"/>
    <w:p>
      <w:pPr>
        <w:ind w:left="-20" w:right="40" w:firstLine="872"/>
        <w:spacing w:after="0" w:line="250" w:lineRule="auto"/>
        <w:tabs>
          <w:tab w:leader="none" w:pos="1754"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by the Company to the Executive under this Agreement shall be net of any tax or other amounts required to be withheld by the Company under applicable law.</w:t>
      </w:r>
    </w:p>
    <w:p>
      <w:pPr>
        <w:spacing w:after="0" w:line="174" w:lineRule="exact"/>
        <w:rPr>
          <w:rFonts w:ascii="Arial" w:cs="Arial" w:eastAsia="Arial" w:hAnsi="Arial"/>
          <w:sz w:val="22"/>
          <w:szCs w:val="22"/>
          <w:color w:val="auto"/>
        </w:rPr>
      </w:pPr>
    </w:p>
    <w:p>
      <w:pPr>
        <w:ind w:left="-20" w:right="280" w:firstLine="872"/>
        <w:spacing w:after="0" w:line="282" w:lineRule="auto"/>
        <w:tabs>
          <w:tab w:leader="none" w:pos="1762"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Successor to the Executive</w:t>
      </w:r>
      <w:r>
        <w:rPr>
          <w:rFonts w:ascii="Arial" w:cs="Arial" w:eastAsia="Arial" w:hAnsi="Arial"/>
          <w:sz w:val="19"/>
          <w:szCs w:val="19"/>
          <w:color w:val="auto"/>
        </w:rPr>
        <w:t>. This Agreement shall inure to the benefit of and be enforceable by the Executive’s personal representatives, executors, administrators, heirs, distributees, devisees and legatees. In the event of the Executive’s death after her termination of employment but prior to the completion by the Company of all payments due to him under this Agreement, the Company shall continue such payments to the Executive’s beneficiary designated in writing to the Company prior to her death (or to her estate, if the Executive fails to make such designation).</w:t>
      </w:r>
    </w:p>
    <w:p>
      <w:pPr>
        <w:spacing w:after="0" w:line="147" w:lineRule="exact"/>
        <w:rPr>
          <w:rFonts w:ascii="Arial" w:cs="Arial" w:eastAsia="Arial" w:hAnsi="Arial"/>
          <w:sz w:val="19"/>
          <w:szCs w:val="19"/>
          <w:color w:val="auto"/>
        </w:rPr>
      </w:pPr>
    </w:p>
    <w:p>
      <w:pPr>
        <w:ind w:left="-20" w:right="220" w:firstLine="872"/>
        <w:spacing w:after="0" w:line="249" w:lineRule="auto"/>
        <w:tabs>
          <w:tab w:leader="none" w:pos="1762"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Enforceability</w:t>
      </w:r>
      <w:r>
        <w:rPr>
          <w:rFonts w:ascii="Arial" w:cs="Arial" w:eastAsia="Arial" w:hAnsi="Arial"/>
          <w:sz w:val="21"/>
          <w:szCs w:val="21"/>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8" w:lineRule="exact"/>
        <w:rPr>
          <w:rFonts w:ascii="Arial" w:cs="Arial" w:eastAsia="Arial" w:hAnsi="Arial"/>
          <w:sz w:val="21"/>
          <w:szCs w:val="21"/>
          <w:color w:val="auto"/>
        </w:rPr>
      </w:pPr>
    </w:p>
    <w:p>
      <w:pPr>
        <w:ind w:left="-20" w:right="600" w:firstLine="872"/>
        <w:spacing w:after="0" w:line="328" w:lineRule="auto"/>
        <w:tabs>
          <w:tab w:leader="none" w:pos="1762"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The provisions of this Agreement shall survive the termination of this Agreement and/or the termination of the Executive’s employment to the extent necessary to effectuate the terms contained herein.</w:t>
      </w:r>
    </w:p>
    <w:p>
      <w:pPr>
        <w:spacing w:after="0" w:line="104" w:lineRule="exact"/>
        <w:rPr>
          <w:rFonts w:ascii="Arial" w:cs="Arial" w:eastAsia="Arial" w:hAnsi="Arial"/>
          <w:sz w:val="19"/>
          <w:szCs w:val="19"/>
          <w:color w:val="auto"/>
        </w:rPr>
      </w:pPr>
    </w:p>
    <w:p>
      <w:pPr>
        <w:ind w:left="-20" w:firstLine="872"/>
        <w:spacing w:after="0" w:line="238" w:lineRule="auto"/>
        <w:tabs>
          <w:tab w:leader="none" w:pos="1762"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4" w:lineRule="exact"/>
        <w:rPr>
          <w:rFonts w:ascii="Arial" w:cs="Arial" w:eastAsia="Arial" w:hAnsi="Arial"/>
          <w:sz w:val="22"/>
          <w:szCs w:val="22"/>
          <w:color w:val="auto"/>
        </w:rPr>
      </w:pPr>
    </w:p>
    <w:p>
      <w:pPr>
        <w:ind w:left="-20" w:right="60" w:firstLine="872"/>
        <w:spacing w:after="0" w:line="252" w:lineRule="auto"/>
        <w:tabs>
          <w:tab w:leader="none" w:pos="1762"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3" w:lineRule="exact"/>
        <w:rPr>
          <w:rFonts w:ascii="Arial" w:cs="Arial" w:eastAsia="Arial" w:hAnsi="Arial"/>
          <w:sz w:val="21"/>
          <w:szCs w:val="21"/>
          <w:color w:val="auto"/>
        </w:rPr>
      </w:pPr>
    </w:p>
    <w:p>
      <w:pPr>
        <w:ind w:left="-20" w:right="540" w:firstLine="872"/>
        <w:spacing w:after="0" w:line="250" w:lineRule="auto"/>
        <w:tabs>
          <w:tab w:leader="none" w:pos="1762"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or modified only by a written instrument signed by the Executive and by a duly authorized representative of the Company.</w:t>
      </w:r>
    </w:p>
    <w:p>
      <w:pPr>
        <w:spacing w:after="0" w:line="174" w:lineRule="exact"/>
        <w:rPr>
          <w:rFonts w:ascii="Arial" w:cs="Arial" w:eastAsia="Arial" w:hAnsi="Arial"/>
          <w:sz w:val="22"/>
          <w:szCs w:val="22"/>
          <w:color w:val="auto"/>
        </w:rPr>
      </w:pPr>
    </w:p>
    <w:p>
      <w:pPr>
        <w:ind w:left="-20" w:right="500" w:firstLine="872"/>
        <w:spacing w:after="0" w:line="328" w:lineRule="auto"/>
        <w:tabs>
          <w:tab w:leader="none" w:pos="1762"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is a Massachusetts contract and shall be construed under and be governed in all respects by the laws of the Commonwealth of Massachusetts, without giving effect to the conflict of laws principles thereof.</w:t>
      </w:r>
    </w:p>
    <w:p>
      <w:pPr>
        <w:spacing w:after="0" w:line="104" w:lineRule="exact"/>
        <w:rPr>
          <w:rFonts w:ascii="Arial" w:cs="Arial" w:eastAsia="Arial" w:hAnsi="Arial"/>
          <w:sz w:val="19"/>
          <w:szCs w:val="19"/>
          <w:color w:val="auto"/>
        </w:rPr>
      </w:pPr>
    </w:p>
    <w:p>
      <w:pPr>
        <w:ind w:left="-20" w:right="520" w:firstLine="872"/>
        <w:spacing w:after="0"/>
        <w:tabs>
          <w:tab w:leader="none" w:pos="1762"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sectPr>
      </w:pPr>
    </w:p>
    <w:bookmarkStart w:id="167" w:name="page168"/>
    <w:bookmarkEnd w:id="167"/>
    <w:p>
      <w:pPr>
        <w:ind w:right="100" w:firstLine="872"/>
        <w:spacing w:after="0" w:line="236" w:lineRule="auto"/>
        <w:tabs>
          <w:tab w:leader="none" w:pos="1782"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Successor to Company</w:t>
      </w:r>
      <w:r>
        <w:rPr>
          <w:rFonts w:ascii="Arial" w:cs="Arial" w:eastAsia="Arial" w:hAnsi="Arial"/>
          <w:sz w:val="22"/>
          <w:szCs w:val="22"/>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87" w:lineRule="exact"/>
        <w:rPr>
          <w:rFonts w:ascii="Arial" w:cs="Arial" w:eastAsia="Arial" w:hAnsi="Arial"/>
          <w:sz w:val="22"/>
          <w:szCs w:val="22"/>
          <w:color w:val="auto"/>
        </w:rPr>
      </w:pPr>
    </w:p>
    <w:p>
      <w:pPr>
        <w:ind w:right="460" w:firstLine="872"/>
        <w:spacing w:after="0" w:line="287" w:lineRule="auto"/>
        <w:tabs>
          <w:tab w:leader="none" w:pos="1782"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Conditions</w:t>
      </w:r>
      <w:r>
        <w:rPr>
          <w:rFonts w:ascii="Arial" w:cs="Arial" w:eastAsia="Arial" w:hAnsi="Arial"/>
          <w:sz w:val="19"/>
          <w:szCs w:val="19"/>
          <w:color w:val="auto"/>
        </w:rPr>
        <w:t>. Notwithstanding anything to the contrary herein, the effectiveness of this Agreement is conditioned on (i) successful reference and background verifications of the Executive, and (ii) the Executive’s submission of satisfactory proof of identity and legal authorization to work in the United States, as is required for all employees. This Agreement shall be void ab initio and of no further force or effect if the conditions set forth in this Section are not satisfied.</w:t>
      </w:r>
    </w:p>
    <w:p>
      <w:pPr>
        <w:spacing w:after="0" w:line="142" w:lineRule="exact"/>
        <w:rPr>
          <w:rFonts w:ascii="Arial" w:cs="Arial" w:eastAsia="Arial" w:hAnsi="Arial"/>
          <w:sz w:val="19"/>
          <w:szCs w:val="19"/>
          <w:color w:val="auto"/>
        </w:rPr>
      </w:pPr>
    </w:p>
    <w:p>
      <w:pPr>
        <w:ind w:right="200" w:firstLine="872"/>
        <w:spacing w:after="0" w:line="250" w:lineRule="auto"/>
        <w:tabs>
          <w:tab w:leader="none" w:pos="1782"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Gender Neutral</w:t>
      </w:r>
      <w:r>
        <w:rPr>
          <w:rFonts w:ascii="Arial" w:cs="Arial" w:eastAsia="Arial" w:hAnsi="Arial"/>
          <w:sz w:val="22"/>
          <w:szCs w:val="22"/>
          <w:color w:val="auto"/>
        </w:rPr>
        <w:t>. Wherever used herein, a pronoun in the masculine or feminine gender shall be considered as including the opposite gender as well unless the context clearly indicates otherwise.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IN WITNESS WHEREOF, the parties have executed this Agreement effective on the date and year first above written.</w:t>
      </w:r>
    </w:p>
    <w:p>
      <w:pPr>
        <w:spacing w:after="0" w:line="200" w:lineRule="exact"/>
        <w:rPr>
          <w:sz w:val="20"/>
          <w:szCs w:val="20"/>
          <w:color w:val="auto"/>
        </w:rPr>
      </w:pPr>
    </w:p>
    <w:p>
      <w:pPr>
        <w:spacing w:after="0" w:line="251" w:lineRule="exact"/>
        <w:rPr>
          <w:sz w:val="20"/>
          <w:szCs w:val="20"/>
          <w:color w:val="auto"/>
        </w:rPr>
      </w:pPr>
    </w:p>
    <w:tbl>
      <w:tblPr>
        <w:tblLayout w:type="fixed"/>
        <w:tblInd w:w="5620" w:type="dxa"/>
        <w:tblCellMar>
          <w:top w:w="0" w:type="dxa"/>
          <w:left w:w="0" w:type="dxa"/>
          <w:bottom w:w="0" w:type="dxa"/>
          <w:right w:w="0" w:type="dxa"/>
        </w:tblCellMar>
      </w:tblPr>
      <w:tr>
        <w:trPr>
          <w:trHeight w:val="280"/>
        </w:trPr>
        <w:tc>
          <w:tcPr>
            <w:tcW w:w="3220" w:type="dxa"/>
            <w:vAlign w:val="bottom"/>
            <w:gridSpan w:val="2"/>
          </w:tcPr>
          <w:p>
            <w:pPr>
              <w:spacing w:after="0"/>
              <w:rPr>
                <w:sz w:val="20"/>
                <w:szCs w:val="20"/>
                <w:color w:val="auto"/>
              </w:rPr>
            </w:pPr>
            <w:r>
              <w:rPr>
                <w:rFonts w:ascii="Arial" w:cs="Arial" w:eastAsia="Arial" w:hAnsi="Arial"/>
                <w:sz w:val="22"/>
                <w:szCs w:val="22"/>
                <w:b w:val="1"/>
                <w:bCs w:val="1"/>
                <w:color w:val="auto"/>
              </w:rPr>
              <w:t>AVROBIO, INC.</w:t>
            </w:r>
          </w:p>
        </w:tc>
        <w:tc>
          <w:tcPr>
            <w:tcW w:w="2400" w:type="dxa"/>
            <w:vAlign w:val="bottom"/>
          </w:tcPr>
          <w:p>
            <w:pPr>
              <w:spacing w:after="0"/>
              <w:rPr>
                <w:sz w:val="24"/>
                <w:szCs w:val="24"/>
                <w:color w:val="auto"/>
              </w:rPr>
            </w:pPr>
          </w:p>
        </w:tc>
      </w:tr>
      <w:tr>
        <w:trPr>
          <w:trHeight w:val="66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24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Geoff MacKay</w:t>
            </w: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22"/>
                <w:szCs w:val="22"/>
                <w:color w:val="auto"/>
              </w:rPr>
              <w:t>04-Dec-2020</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440" w:type="dxa"/>
            <w:vAlign w:val="bottom"/>
          </w:tcPr>
          <w:p>
            <w:pPr>
              <w:spacing w:after="0" w:line="216" w:lineRule="exact"/>
              <w:rPr>
                <w:sz w:val="20"/>
                <w:szCs w:val="20"/>
                <w:color w:val="auto"/>
              </w:rPr>
            </w:pPr>
            <w:r>
              <w:rPr>
                <w:rFonts w:ascii="Arial" w:cs="Arial" w:eastAsia="Arial" w:hAnsi="Arial"/>
                <w:sz w:val="22"/>
                <w:szCs w:val="22"/>
                <w:color w:val="auto"/>
              </w:rPr>
              <w:t>Geoff MacKay</w:t>
            </w:r>
          </w:p>
        </w:tc>
        <w:tc>
          <w:tcPr>
            <w:tcW w:w="2400" w:type="dxa"/>
            <w:vAlign w:val="bottom"/>
          </w:tcPr>
          <w:p>
            <w:pPr>
              <w:spacing w:after="0"/>
              <w:rPr>
                <w:sz w:val="18"/>
                <w:szCs w:val="18"/>
                <w:color w:val="auto"/>
              </w:rPr>
            </w:pP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2440" w:type="dxa"/>
            <w:vAlign w:val="bottom"/>
          </w:tcPr>
          <w:p>
            <w:pPr>
              <w:spacing w:after="0"/>
              <w:rPr>
                <w:sz w:val="20"/>
                <w:szCs w:val="20"/>
                <w:color w:val="auto"/>
              </w:rPr>
            </w:pPr>
            <w:r>
              <w:rPr>
                <w:rFonts w:ascii="Arial" w:cs="Arial" w:eastAsia="Arial" w:hAnsi="Arial"/>
                <w:sz w:val="22"/>
                <w:szCs w:val="22"/>
                <w:color w:val="auto"/>
              </w:rPr>
              <w:t>Chief Executive Officer</w:t>
            </w:r>
          </w:p>
        </w:tc>
        <w:tc>
          <w:tcPr>
            <w:tcW w:w="2400" w:type="dxa"/>
            <w:vAlign w:val="bottom"/>
          </w:tcPr>
          <w:p>
            <w:pPr>
              <w:spacing w:after="0"/>
              <w:rPr>
                <w:sz w:val="23"/>
                <w:szCs w:val="23"/>
                <w:color w:val="auto"/>
              </w:rPr>
            </w:pPr>
          </w:p>
        </w:tc>
      </w:tr>
    </w:tbl>
    <w:p>
      <w:pPr>
        <w:spacing w:after="0" w:line="179"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28"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/s/ Diana Escolar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Diana Escolar, MD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22"/>
          <w:szCs w:val="22"/>
          <w:b w:val="1"/>
          <w:bCs w:val="1"/>
          <w:color w:val="auto"/>
        </w:rPr>
        <w:t>Schedule 1</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Approved Activities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Restrictive Covenants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9019"/>
          </w:cols>
          <w:pgMar w:left="1440" w:top="328" w:right="1440" w:bottom="1440" w:gutter="0" w:footer="0" w:header="0"/>
        </w:sectPr>
      </w:pPr>
    </w:p>
    <w:bookmarkStart w:id="170" w:name="page171"/>
    <w:bookmarkEnd w:id="170"/>
    <w:p>
      <w:pPr>
        <w:jc w:val="right"/>
        <w:spacing w:after="0"/>
        <w:rPr>
          <w:sz w:val="20"/>
          <w:szCs w:val="20"/>
          <w:color w:val="auto"/>
        </w:rPr>
      </w:pPr>
      <w:r>
        <w:rPr>
          <w:rFonts w:ascii="Arial" w:cs="Arial" w:eastAsia="Arial" w:hAnsi="Arial"/>
          <w:sz w:val="22"/>
          <w:szCs w:val="22"/>
          <w:b w:val="1"/>
          <w:bCs w:val="1"/>
          <w:color w:val="auto"/>
        </w:rPr>
        <w:t>Exhibit 10.25</w:t>
      </w:r>
    </w:p>
    <w:p>
      <w:pPr>
        <w:spacing w:after="0" w:line="211" w:lineRule="exact"/>
        <w:rPr>
          <w:sz w:val="20"/>
          <w:szCs w:val="20"/>
          <w:color w:val="auto"/>
        </w:rPr>
      </w:pPr>
    </w:p>
    <w:p>
      <w:pPr>
        <w:ind w:left="4720"/>
        <w:spacing w:after="0"/>
        <w:rPr>
          <w:sz w:val="20"/>
          <w:szCs w:val="20"/>
          <w:color w:val="auto"/>
        </w:rPr>
      </w:pPr>
      <w:r>
        <w:rPr>
          <w:rFonts w:ascii="Arial" w:cs="Arial" w:eastAsia="Arial" w:hAnsi="Arial"/>
          <w:sz w:val="25"/>
          <w:szCs w:val="25"/>
          <w:b w:val="1"/>
          <w:bCs w:val="1"/>
          <w:color w:val="auto"/>
        </w:rPr>
        <w:t>AVROBIO, INC.</w:t>
      </w:r>
    </w:p>
    <w:p>
      <w:pPr>
        <w:spacing w:after="0" w:line="226" w:lineRule="exact"/>
        <w:rPr>
          <w:sz w:val="20"/>
          <w:szCs w:val="20"/>
          <w:color w:val="auto"/>
        </w:rPr>
      </w:pPr>
    </w:p>
    <w:p>
      <w:pPr>
        <w:ind w:left="4100"/>
        <w:spacing w:after="0"/>
        <w:rPr>
          <w:sz w:val="20"/>
          <w:szCs w:val="20"/>
          <w:color w:val="auto"/>
        </w:rPr>
      </w:pPr>
      <w:r>
        <w:rPr>
          <w:rFonts w:ascii="Arial" w:cs="Arial" w:eastAsia="Arial" w:hAnsi="Arial"/>
          <w:sz w:val="25"/>
          <w:szCs w:val="25"/>
          <w:b w:val="1"/>
          <w:bCs w:val="1"/>
          <w:color w:val="auto"/>
        </w:rPr>
        <w:t>2020 INDUCEMENT PLAN</w:t>
      </w:r>
    </w:p>
    <w:p>
      <w:pPr>
        <w:spacing w:after="0" w:line="200" w:lineRule="exact"/>
        <w:rPr>
          <w:sz w:val="20"/>
          <w:szCs w:val="20"/>
          <w:color w:val="auto"/>
        </w:rPr>
      </w:pPr>
    </w:p>
    <w:p>
      <w:pPr>
        <w:spacing w:after="0" w:line="24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GENERAL PURPOSE OF THE PLAN; DEFINITIONS</w:t>
      </w:r>
    </w:p>
    <w:p>
      <w:pPr>
        <w:spacing w:after="0" w:line="206" w:lineRule="exact"/>
        <w:rPr>
          <w:sz w:val="20"/>
          <w:szCs w:val="20"/>
          <w:color w:val="auto"/>
        </w:rPr>
      </w:pPr>
    </w:p>
    <w:p>
      <w:pPr>
        <w:ind w:right="100" w:firstLine="864"/>
        <w:spacing w:after="0" w:line="269" w:lineRule="auto"/>
        <w:rPr>
          <w:sz w:val="20"/>
          <w:szCs w:val="20"/>
          <w:color w:val="auto"/>
        </w:rPr>
      </w:pPr>
      <w:r>
        <w:rPr>
          <w:rFonts w:ascii="Arial" w:cs="Arial" w:eastAsia="Arial" w:hAnsi="Arial"/>
          <w:sz w:val="19"/>
          <w:szCs w:val="19"/>
          <w:color w:val="auto"/>
        </w:rPr>
        <w:t>The name of the plan is the AVROBIO, Inc. 2020 Inducement Plan (the “Plan”). The purpose of the Plan is to enable AVROBIO, Inc., a Delaware corporation (the “Company”) and its Subsidiaries to grant equity awards to induce highly-qualified prospective officers and employees who are Eligible Employees to accept employment and to provide them with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 The Company intends that the Plan be reserved for persons to whom the Company may issue securities without stockholder approval as an inducement pursuant to Rule 5635(c)</w:t>
      </w:r>
    </w:p>
    <w:p>
      <w:pPr>
        <w:spacing w:after="0" w:line="5" w:lineRule="exact"/>
        <w:rPr>
          <w:sz w:val="20"/>
          <w:szCs w:val="20"/>
          <w:color w:val="auto"/>
        </w:rPr>
      </w:pPr>
    </w:p>
    <w:p>
      <w:pPr>
        <w:ind w:left="880" w:right="5540" w:hanging="872"/>
        <w:spacing w:after="0" w:line="494" w:lineRule="auto"/>
        <w:tabs>
          <w:tab w:leader="none" w:pos="32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of the Marketplace Rules of the Nasdaq Stock Market, Inc. The following terms shall be defined as set forth below:</w:t>
      </w:r>
    </w:p>
    <w:p>
      <w:pPr>
        <w:spacing w:after="0" w:line="1" w:lineRule="exact"/>
        <w:rPr>
          <w:sz w:val="20"/>
          <w:szCs w:val="20"/>
          <w:color w:val="auto"/>
        </w:rPr>
      </w:pPr>
    </w:p>
    <w:p>
      <w:pPr>
        <w:ind w:right="240" w:firstLine="864"/>
        <w:spacing w:after="0" w:line="253" w:lineRule="exact"/>
        <w:rPr>
          <w:sz w:val="20"/>
          <w:szCs w:val="20"/>
          <w:color w:val="auto"/>
        </w:rPr>
      </w:pPr>
      <w:r>
        <w:rPr>
          <w:rFonts w:ascii="Arial" w:cs="Arial" w:eastAsia="Arial" w:hAnsi="Arial"/>
          <w:sz w:val="22"/>
          <w:szCs w:val="22"/>
          <w:i w:val="1"/>
          <w:iCs w:val="1"/>
          <w:color w:val="auto"/>
        </w:rPr>
        <w:t xml:space="preserve">“Administrator” </w:t>
      </w:r>
      <w:r>
        <w:rPr>
          <w:rFonts w:ascii="Arial" w:cs="Arial" w:eastAsia="Arial" w:hAnsi="Arial"/>
          <w:sz w:val="22"/>
          <w:szCs w:val="22"/>
          <w:color w:val="auto"/>
        </w:rPr>
        <w:t>means either the Board or the compensation committee of the Board or a similar committee</w:t>
      </w:r>
      <w:r>
        <w:rPr>
          <w:rFonts w:ascii="Arial" w:cs="Arial" w:eastAsia="Arial" w:hAnsi="Arial"/>
          <w:sz w:val="22"/>
          <w:szCs w:val="22"/>
          <w:i w:val="1"/>
          <w:iCs w:val="1"/>
          <w:color w:val="auto"/>
        </w:rPr>
        <w:t xml:space="preserve"> </w:t>
      </w:r>
      <w:r>
        <w:rPr>
          <w:rFonts w:ascii="Arial" w:cs="Arial" w:eastAsia="Arial" w:hAnsi="Arial"/>
          <w:sz w:val="22"/>
          <w:szCs w:val="22"/>
          <w:color w:val="auto"/>
        </w:rPr>
        <w:t>performing the functions of the compensation committee and which is comprised of not less than two Non</w:t>
      </w:r>
      <w:r>
        <w:rPr>
          <w:rFonts w:ascii="MS PGothic" w:cs="MS PGothic" w:eastAsia="MS PGothic" w:hAnsi="MS PGothic"/>
          <w:sz w:val="22"/>
          <w:szCs w:val="22"/>
          <w:color w:val="auto"/>
        </w:rPr>
        <w:t>‑</w:t>
      </w:r>
      <w:r>
        <w:rPr>
          <w:rFonts w:ascii="Arial" w:cs="Arial" w:eastAsia="Arial" w:hAnsi="Arial"/>
          <w:sz w:val="22"/>
          <w:szCs w:val="22"/>
          <w:color w:val="auto"/>
        </w:rPr>
        <w:t>Employee Directors who are independent.</w:t>
      </w:r>
    </w:p>
    <w:p>
      <w:pPr>
        <w:spacing w:after="0" w:line="186" w:lineRule="exact"/>
        <w:rPr>
          <w:sz w:val="20"/>
          <w:szCs w:val="20"/>
          <w:color w:val="auto"/>
        </w:rPr>
      </w:pPr>
    </w:p>
    <w:p>
      <w:pPr>
        <w:ind w:right="160" w:firstLine="864"/>
        <w:spacing w:after="0"/>
        <w:rPr>
          <w:sz w:val="20"/>
          <w:szCs w:val="20"/>
          <w:color w:val="auto"/>
        </w:rPr>
      </w:pPr>
      <w:r>
        <w:rPr>
          <w:rFonts w:ascii="Arial" w:cs="Arial" w:eastAsia="Arial" w:hAnsi="Arial"/>
          <w:sz w:val="22"/>
          <w:szCs w:val="22"/>
          <w:i w:val="1"/>
          <w:iCs w:val="1"/>
          <w:color w:val="auto"/>
        </w:rPr>
        <w:t xml:space="preserve">“Award” </w:t>
      </w:r>
      <w:r>
        <w:rPr>
          <w:rFonts w:ascii="Arial" w:cs="Arial" w:eastAsia="Arial" w:hAnsi="Arial"/>
          <w:sz w:val="22"/>
          <w:szCs w:val="22"/>
          <w:color w:val="auto"/>
        </w:rPr>
        <w:t>or</w:t>
      </w:r>
      <w:r>
        <w:rPr>
          <w:rFonts w:ascii="Arial" w:cs="Arial" w:eastAsia="Arial" w:hAnsi="Arial"/>
          <w:sz w:val="22"/>
          <w:szCs w:val="22"/>
          <w:i w:val="1"/>
          <w:iCs w:val="1"/>
          <w:color w:val="auto"/>
        </w:rPr>
        <w:t xml:space="preserve"> “Awards,” </w:t>
      </w:r>
      <w:r>
        <w:rPr>
          <w:rFonts w:ascii="Arial" w:cs="Arial" w:eastAsia="Arial" w:hAnsi="Arial"/>
          <w:sz w:val="22"/>
          <w:szCs w:val="22"/>
          <w:color w:val="auto"/>
        </w:rPr>
        <w:t>except where referring to a particular category of grant under the Plan, shall include Stock</w:t>
      </w:r>
      <w:r>
        <w:rPr>
          <w:rFonts w:ascii="Arial" w:cs="Arial" w:eastAsia="Arial" w:hAnsi="Arial"/>
          <w:sz w:val="22"/>
          <w:szCs w:val="22"/>
          <w:i w:val="1"/>
          <w:iCs w:val="1"/>
          <w:color w:val="auto"/>
        </w:rPr>
        <w:t xml:space="preserve"> </w:t>
      </w:r>
      <w:r>
        <w:rPr>
          <w:rFonts w:ascii="Arial" w:cs="Arial" w:eastAsia="Arial" w:hAnsi="Arial"/>
          <w:sz w:val="22"/>
          <w:szCs w:val="22"/>
          <w:color w:val="auto"/>
        </w:rPr>
        <w:t>Options, Stock Appreciation Rights, Restricted Stock Units, Restricted Stock Awards, Unrestricted Stock Awards, and Dividend Equivalent Rights.</w:t>
      </w:r>
    </w:p>
    <w:p>
      <w:pPr>
        <w:spacing w:after="0" w:line="186" w:lineRule="exact"/>
        <w:rPr>
          <w:sz w:val="20"/>
          <w:szCs w:val="20"/>
          <w:color w:val="auto"/>
        </w:rPr>
      </w:pPr>
    </w:p>
    <w:p>
      <w:pPr>
        <w:ind w:right="420" w:firstLine="864"/>
        <w:spacing w:after="0" w:line="328" w:lineRule="auto"/>
        <w:rPr>
          <w:sz w:val="20"/>
          <w:szCs w:val="20"/>
          <w:color w:val="auto"/>
        </w:rPr>
      </w:pPr>
      <w:r>
        <w:rPr>
          <w:rFonts w:ascii="Arial" w:cs="Arial" w:eastAsia="Arial" w:hAnsi="Arial"/>
          <w:sz w:val="19"/>
          <w:szCs w:val="19"/>
          <w:i w:val="1"/>
          <w:iCs w:val="1"/>
          <w:color w:val="auto"/>
        </w:rPr>
        <w:t xml:space="preserve">“Award Certificate” </w:t>
      </w:r>
      <w:r>
        <w:rPr>
          <w:rFonts w:ascii="Arial" w:cs="Arial" w:eastAsia="Arial" w:hAnsi="Arial"/>
          <w:sz w:val="19"/>
          <w:szCs w:val="19"/>
          <w:color w:val="auto"/>
        </w:rPr>
        <w:t>means a written or electronic document setting forth the terms and provisions applicable to an</w:t>
      </w:r>
      <w:r>
        <w:rPr>
          <w:rFonts w:ascii="Arial" w:cs="Arial" w:eastAsia="Arial" w:hAnsi="Arial"/>
          <w:sz w:val="19"/>
          <w:szCs w:val="19"/>
          <w:i w:val="1"/>
          <w:iCs w:val="1"/>
          <w:color w:val="auto"/>
        </w:rPr>
        <w:t xml:space="preserve"> </w:t>
      </w:r>
      <w:r>
        <w:rPr>
          <w:rFonts w:ascii="Arial" w:cs="Arial" w:eastAsia="Arial" w:hAnsi="Arial"/>
          <w:sz w:val="19"/>
          <w:szCs w:val="19"/>
          <w:color w:val="auto"/>
        </w:rPr>
        <w:t>Award granted under the Plan. Each Award Certificate is subject to the terms and conditions of the Plan.</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“Board” </w:t>
      </w:r>
      <w:r>
        <w:rPr>
          <w:rFonts w:ascii="Arial" w:cs="Arial" w:eastAsia="Arial" w:hAnsi="Arial"/>
          <w:sz w:val="22"/>
          <w:szCs w:val="22"/>
          <w:color w:val="auto"/>
        </w:rPr>
        <w:t>means the Board of Directors of the Company.</w:t>
      </w:r>
    </w:p>
    <w:p>
      <w:pPr>
        <w:spacing w:after="0" w:line="206" w:lineRule="exact"/>
        <w:rPr>
          <w:sz w:val="20"/>
          <w:szCs w:val="20"/>
          <w:color w:val="auto"/>
        </w:rPr>
      </w:pPr>
    </w:p>
    <w:p>
      <w:pPr>
        <w:ind w:right="80" w:firstLine="864"/>
        <w:spacing w:after="0" w:line="250"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and any successor Code, and related rules, regulations</w:t>
      </w:r>
      <w:r>
        <w:rPr>
          <w:rFonts w:ascii="Arial" w:cs="Arial" w:eastAsia="Arial" w:hAnsi="Arial"/>
          <w:sz w:val="22"/>
          <w:szCs w:val="22"/>
          <w:i w:val="1"/>
          <w:iCs w:val="1"/>
          <w:color w:val="auto"/>
        </w:rPr>
        <w:t xml:space="preserve"> </w:t>
      </w:r>
      <w:r>
        <w:rPr>
          <w:rFonts w:ascii="Arial" w:cs="Arial" w:eastAsia="Arial" w:hAnsi="Arial"/>
          <w:sz w:val="22"/>
          <w:szCs w:val="22"/>
          <w:color w:val="auto"/>
        </w:rPr>
        <w:t>and interpretations.</w:t>
      </w:r>
    </w:p>
    <w:p>
      <w:pPr>
        <w:spacing w:after="0" w:line="175" w:lineRule="exact"/>
        <w:rPr>
          <w:sz w:val="20"/>
          <w:szCs w:val="20"/>
          <w:color w:val="auto"/>
        </w:rPr>
      </w:pPr>
    </w:p>
    <w:p>
      <w:pPr>
        <w:ind w:right="60" w:firstLine="864"/>
        <w:spacing w:after="0"/>
        <w:rPr>
          <w:sz w:val="20"/>
          <w:szCs w:val="20"/>
          <w:color w:val="auto"/>
        </w:rPr>
      </w:pPr>
      <w:r>
        <w:rPr>
          <w:rFonts w:ascii="Arial" w:cs="Arial" w:eastAsia="Arial" w:hAnsi="Arial"/>
          <w:sz w:val="22"/>
          <w:szCs w:val="22"/>
          <w:i w:val="1"/>
          <w:iCs w:val="1"/>
          <w:color w:val="auto"/>
        </w:rPr>
        <w:t xml:space="preserve">“Consultant” </w:t>
      </w:r>
      <w:r>
        <w:rPr>
          <w:rFonts w:ascii="Arial" w:cs="Arial" w:eastAsia="Arial" w:hAnsi="Arial"/>
          <w:sz w:val="22"/>
          <w:szCs w:val="22"/>
          <w:color w:val="auto"/>
        </w:rPr>
        <w:t>means any natural person that provides bona fide services to the Company, and such services are not in</w:t>
      </w:r>
      <w:r>
        <w:rPr>
          <w:rFonts w:ascii="Arial" w:cs="Arial" w:eastAsia="Arial" w:hAnsi="Arial"/>
          <w:sz w:val="22"/>
          <w:szCs w:val="22"/>
          <w:i w:val="1"/>
          <w:iCs w:val="1"/>
          <w:color w:val="auto"/>
        </w:rPr>
        <w:t xml:space="preserve"> </w:t>
      </w:r>
      <w:r>
        <w:rPr>
          <w:rFonts w:ascii="Arial" w:cs="Arial" w:eastAsia="Arial" w:hAnsi="Arial"/>
          <w:sz w:val="22"/>
          <w:szCs w:val="22"/>
          <w:color w:val="auto"/>
        </w:rPr>
        <w:t>connection with the offer or sale of securities in a capital-raising transaction and do not directly or indirectly promote or maintain a market for the Company’s securities.</w:t>
      </w:r>
    </w:p>
    <w:p>
      <w:pPr>
        <w:spacing w:after="0" w:line="186" w:lineRule="exact"/>
        <w:rPr>
          <w:sz w:val="20"/>
          <w:szCs w:val="20"/>
          <w:color w:val="auto"/>
        </w:rPr>
      </w:pPr>
    </w:p>
    <w:p>
      <w:pPr>
        <w:ind w:right="380" w:firstLine="864"/>
        <w:spacing w:after="0"/>
        <w:rPr>
          <w:sz w:val="20"/>
          <w:szCs w:val="20"/>
          <w:color w:val="auto"/>
        </w:rPr>
      </w:pPr>
      <w:r>
        <w:rPr>
          <w:rFonts w:ascii="Arial" w:cs="Arial" w:eastAsia="Arial" w:hAnsi="Arial"/>
          <w:sz w:val="22"/>
          <w:szCs w:val="22"/>
          <w:i w:val="1"/>
          <w:iCs w:val="1"/>
          <w:color w:val="auto"/>
        </w:rPr>
        <w:t xml:space="preserve">“Dividend Equivalent Right” </w:t>
      </w:r>
      <w:r>
        <w:rPr>
          <w:rFonts w:ascii="Arial" w:cs="Arial" w:eastAsia="Arial" w:hAnsi="Arial"/>
          <w:sz w:val="22"/>
          <w:szCs w:val="22"/>
          <w:color w:val="auto"/>
        </w:rPr>
        <w:t>means an Award entitling the grantee to receive credits based on cash dividends that</w:t>
      </w:r>
      <w:r>
        <w:rPr>
          <w:rFonts w:ascii="Arial" w:cs="Arial" w:eastAsia="Arial" w:hAnsi="Arial"/>
          <w:sz w:val="22"/>
          <w:szCs w:val="22"/>
          <w:i w:val="1"/>
          <w:iCs w:val="1"/>
          <w:color w:val="auto"/>
        </w:rPr>
        <w:t xml:space="preserve"> </w:t>
      </w:r>
      <w:r>
        <w:rPr>
          <w:rFonts w:ascii="Arial" w:cs="Arial" w:eastAsia="Arial" w:hAnsi="Arial"/>
          <w:sz w:val="22"/>
          <w:szCs w:val="22"/>
          <w:color w:val="auto"/>
        </w:rPr>
        <w:t>would have been paid on the shares of Stock specified in the Dividend Equivalent Right (or other award to which it relates) if such shares had been issued to and held by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1" w:name="page172"/>
    <w:bookmarkEnd w:id="171"/>
    <w:p>
      <w:pPr>
        <w:ind w:left="880"/>
        <w:spacing w:after="0"/>
        <w:rPr>
          <w:sz w:val="20"/>
          <w:szCs w:val="20"/>
          <w:color w:val="auto"/>
        </w:rPr>
      </w:pPr>
      <w:r>
        <w:rPr>
          <w:rFonts w:ascii="Arial" w:cs="Arial" w:eastAsia="Arial" w:hAnsi="Arial"/>
          <w:sz w:val="22"/>
          <w:szCs w:val="22"/>
          <w:i w:val="1"/>
          <w:iCs w:val="1"/>
          <w:color w:val="auto"/>
        </w:rPr>
        <w:t xml:space="preserve">“Effective Date” </w:t>
      </w:r>
      <w:r>
        <w:rPr>
          <w:rFonts w:ascii="Arial" w:cs="Arial" w:eastAsia="Arial" w:hAnsi="Arial"/>
          <w:sz w:val="22"/>
          <w:szCs w:val="22"/>
          <w:color w:val="auto"/>
        </w:rPr>
        <w:t>means the date on which the Plan becomes effective as set forth in Section 18.</w:t>
      </w:r>
    </w:p>
    <w:p>
      <w:pPr>
        <w:spacing w:after="0" w:line="206" w:lineRule="exact"/>
        <w:rPr>
          <w:sz w:val="20"/>
          <w:szCs w:val="20"/>
          <w:color w:val="auto"/>
        </w:rPr>
      </w:pPr>
    </w:p>
    <w:p>
      <w:pPr>
        <w:ind w:right="100" w:firstLine="864"/>
        <w:spacing w:after="0" w:line="252" w:lineRule="auto"/>
        <w:rPr>
          <w:sz w:val="20"/>
          <w:szCs w:val="20"/>
          <w:color w:val="auto"/>
        </w:rPr>
      </w:pPr>
      <w:r>
        <w:rPr>
          <w:rFonts w:ascii="Arial" w:cs="Arial" w:eastAsia="Arial" w:hAnsi="Arial"/>
          <w:sz w:val="21"/>
          <w:szCs w:val="21"/>
          <w:i w:val="1"/>
          <w:iCs w:val="1"/>
          <w:color w:val="auto"/>
        </w:rPr>
        <w:t xml:space="preserve">“Eligible Employee” </w:t>
      </w:r>
      <w:r>
        <w:rPr>
          <w:rFonts w:ascii="Arial" w:cs="Arial" w:eastAsia="Arial" w:hAnsi="Arial"/>
          <w:sz w:val="21"/>
          <w:szCs w:val="21"/>
          <w:color w:val="auto"/>
        </w:rPr>
        <w:t>means any individual who was not previously an employee or a non-employee director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or any of its Subsidiaries (or who has had a bona fide period of non-employment with the Company and its Subsidiaries) who is hired as a full or part-time employee by the Company or one of its Subsidiaries, and for whom the Award is being made as an inducement material to the individual’s entering into such employment.</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9"/>
          <w:szCs w:val="19"/>
          <w:i w:val="1"/>
          <w:iCs w:val="1"/>
          <w:color w:val="auto"/>
        </w:rPr>
        <w:t xml:space="preserve">“Exchange Act” </w:t>
      </w:r>
      <w:r>
        <w:rPr>
          <w:rFonts w:ascii="Arial" w:cs="Arial" w:eastAsia="Arial" w:hAnsi="Arial"/>
          <w:sz w:val="19"/>
          <w:szCs w:val="19"/>
          <w:color w:val="auto"/>
        </w:rPr>
        <w:t>means the Securities Exchange Act of 1934, as amended, and the rules and regulations thereunder.</w:t>
      </w:r>
    </w:p>
    <w:p>
      <w:pPr>
        <w:spacing w:after="0" w:line="241" w:lineRule="exact"/>
        <w:rPr>
          <w:sz w:val="20"/>
          <w:szCs w:val="20"/>
          <w:color w:val="auto"/>
        </w:rPr>
      </w:pPr>
    </w:p>
    <w:p>
      <w:pPr>
        <w:ind w:firstLine="864"/>
        <w:spacing w:after="0" w:line="282" w:lineRule="auto"/>
        <w:rPr>
          <w:sz w:val="20"/>
          <w:szCs w:val="20"/>
          <w:color w:val="auto"/>
        </w:rPr>
      </w:pPr>
      <w:r>
        <w:rPr>
          <w:rFonts w:ascii="Arial" w:cs="Arial" w:eastAsia="Arial" w:hAnsi="Arial"/>
          <w:sz w:val="19"/>
          <w:szCs w:val="19"/>
          <w:i w:val="1"/>
          <w:iCs w:val="1"/>
          <w:color w:val="auto"/>
        </w:rPr>
        <w:t xml:space="preserve">“Fair Market Value” </w:t>
      </w:r>
      <w:r>
        <w:rPr>
          <w:rFonts w:ascii="Arial" w:cs="Arial" w:eastAsia="Arial" w:hAnsi="Arial"/>
          <w:sz w:val="19"/>
          <w:szCs w:val="19"/>
          <w:color w:val="auto"/>
        </w:rPr>
        <w:t>of the Stock on any given date means the fair market value of the Stock determined in good faith</w:t>
      </w:r>
      <w:r>
        <w:rPr>
          <w:rFonts w:ascii="Arial" w:cs="Arial" w:eastAsia="Arial" w:hAnsi="Arial"/>
          <w:sz w:val="19"/>
          <w:szCs w:val="19"/>
          <w:i w:val="1"/>
          <w:iCs w:val="1"/>
          <w:color w:val="auto"/>
        </w:rPr>
        <w:t xml:space="preserve"> </w:t>
      </w:r>
      <w:r>
        <w:rPr>
          <w:rFonts w:ascii="Arial" w:cs="Arial" w:eastAsia="Arial" w:hAnsi="Arial"/>
          <w:sz w:val="19"/>
          <w:szCs w:val="19"/>
          <w:color w:val="auto"/>
        </w:rPr>
        <w:t>by the Administrator; provided, however, that if the Stock is admitted to quotation on the National Association of Securities Dealers Automated Quotation System, Nasdaq Global Market, The New York Stock Exchange or another national securities exchange, the determination shall be made by reference to the Stock’s closing price on such exchange. If there is no closing price for such date, the determination shall be made by reference to the last date preceding such date for which there is a closing price.</w:t>
      </w:r>
    </w:p>
    <w:p>
      <w:pPr>
        <w:spacing w:after="0" w:line="147" w:lineRule="exact"/>
        <w:rPr>
          <w:sz w:val="20"/>
          <w:szCs w:val="20"/>
          <w:color w:val="auto"/>
        </w:rPr>
      </w:pPr>
    </w:p>
    <w:p>
      <w:pPr>
        <w:ind w:right="820" w:firstLine="864"/>
        <w:spacing w:after="0" w:line="250" w:lineRule="auto"/>
        <w:rPr>
          <w:sz w:val="20"/>
          <w:szCs w:val="20"/>
          <w:color w:val="auto"/>
        </w:rPr>
      </w:pPr>
      <w:r>
        <w:rPr>
          <w:rFonts w:ascii="Arial" w:cs="Arial" w:eastAsia="Arial" w:hAnsi="Arial"/>
          <w:sz w:val="22"/>
          <w:szCs w:val="22"/>
          <w:i w:val="1"/>
          <w:iCs w:val="1"/>
          <w:color w:val="auto"/>
        </w:rPr>
        <w:t xml:space="preserve">“Non-Employee Director” </w:t>
      </w:r>
      <w:r>
        <w:rPr>
          <w:rFonts w:ascii="Arial" w:cs="Arial" w:eastAsia="Arial" w:hAnsi="Arial"/>
          <w:sz w:val="22"/>
          <w:szCs w:val="22"/>
          <w:color w:val="auto"/>
        </w:rPr>
        <w:t>means a member of the Board who is not also an employee of the Company or any</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“Option” </w:t>
      </w:r>
      <w:r>
        <w:rPr>
          <w:rFonts w:ascii="Arial" w:cs="Arial" w:eastAsia="Arial" w:hAnsi="Arial"/>
          <w:sz w:val="22"/>
          <w:szCs w:val="22"/>
          <w:color w:val="auto"/>
        </w:rPr>
        <w:t>or</w:t>
      </w:r>
      <w:r>
        <w:rPr>
          <w:rFonts w:ascii="Arial" w:cs="Arial" w:eastAsia="Arial" w:hAnsi="Arial"/>
          <w:sz w:val="22"/>
          <w:szCs w:val="22"/>
          <w:i w:val="1"/>
          <w:iCs w:val="1"/>
          <w:color w:val="auto"/>
        </w:rPr>
        <w:t xml:space="preserve"> “Stock Option” </w:t>
      </w:r>
      <w:r>
        <w:rPr>
          <w:rFonts w:ascii="Arial" w:cs="Arial" w:eastAsia="Arial" w:hAnsi="Arial"/>
          <w:sz w:val="22"/>
          <w:szCs w:val="22"/>
          <w:color w:val="auto"/>
        </w:rPr>
        <w:t>means any option to purchase shares of Stock granted pursuant to Section 5.</w:t>
      </w:r>
    </w:p>
    <w:p>
      <w:pPr>
        <w:spacing w:after="0" w:line="206" w:lineRule="exact"/>
        <w:rPr>
          <w:sz w:val="20"/>
          <w:szCs w:val="20"/>
          <w:color w:val="auto"/>
        </w:rPr>
      </w:pPr>
    </w:p>
    <w:p>
      <w:pPr>
        <w:ind w:right="380" w:firstLine="864"/>
        <w:spacing w:after="0" w:line="250" w:lineRule="auto"/>
        <w:rPr>
          <w:sz w:val="20"/>
          <w:szCs w:val="20"/>
          <w:color w:val="auto"/>
        </w:rPr>
      </w:pPr>
      <w:r>
        <w:rPr>
          <w:rFonts w:ascii="Arial" w:cs="Arial" w:eastAsia="Arial" w:hAnsi="Arial"/>
          <w:sz w:val="22"/>
          <w:szCs w:val="22"/>
          <w:i w:val="1"/>
          <w:iCs w:val="1"/>
          <w:color w:val="auto"/>
        </w:rPr>
        <w:t xml:space="preserve">“Restricted Shares” </w:t>
      </w:r>
      <w:r>
        <w:rPr>
          <w:rFonts w:ascii="Arial" w:cs="Arial" w:eastAsia="Arial" w:hAnsi="Arial"/>
          <w:sz w:val="22"/>
          <w:szCs w:val="22"/>
          <w:color w:val="auto"/>
        </w:rPr>
        <w:t>means the shares of Stock underlying a Restricted Stock Award that remain subject to a risk of</w:t>
      </w:r>
      <w:r>
        <w:rPr>
          <w:rFonts w:ascii="Arial" w:cs="Arial" w:eastAsia="Arial" w:hAnsi="Arial"/>
          <w:sz w:val="22"/>
          <w:szCs w:val="22"/>
          <w:i w:val="1"/>
          <w:iCs w:val="1"/>
          <w:color w:val="auto"/>
        </w:rPr>
        <w:t xml:space="preserve"> </w:t>
      </w:r>
      <w:r>
        <w:rPr>
          <w:rFonts w:ascii="Arial" w:cs="Arial" w:eastAsia="Arial" w:hAnsi="Arial"/>
          <w:sz w:val="22"/>
          <w:szCs w:val="22"/>
          <w:color w:val="auto"/>
        </w:rPr>
        <w:t>forfeiture or the Company’s right of repurchase.</w:t>
      </w:r>
    </w:p>
    <w:p>
      <w:pPr>
        <w:spacing w:after="0" w:line="175" w:lineRule="exact"/>
        <w:rPr>
          <w:sz w:val="20"/>
          <w:szCs w:val="20"/>
          <w:color w:val="auto"/>
        </w:rPr>
      </w:pPr>
    </w:p>
    <w:p>
      <w:pPr>
        <w:ind w:right="600" w:firstLine="864"/>
        <w:spacing w:after="0" w:line="250" w:lineRule="auto"/>
        <w:rPr>
          <w:sz w:val="20"/>
          <w:szCs w:val="20"/>
          <w:color w:val="auto"/>
        </w:rPr>
      </w:pPr>
      <w:r>
        <w:rPr>
          <w:rFonts w:ascii="Arial" w:cs="Arial" w:eastAsia="Arial" w:hAnsi="Arial"/>
          <w:sz w:val="22"/>
          <w:szCs w:val="22"/>
          <w:i w:val="1"/>
          <w:iCs w:val="1"/>
          <w:color w:val="auto"/>
        </w:rPr>
        <w:t xml:space="preserve">“Restricted Stock Award” </w:t>
      </w:r>
      <w:r>
        <w:rPr>
          <w:rFonts w:ascii="Arial" w:cs="Arial" w:eastAsia="Arial" w:hAnsi="Arial"/>
          <w:sz w:val="22"/>
          <w:szCs w:val="22"/>
          <w:color w:val="auto"/>
        </w:rPr>
        <w:t>means an Award of Restricted Shares subject to such restrictions and conditions as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 may determine at the time of grant.</w:t>
      </w:r>
    </w:p>
    <w:p>
      <w:pPr>
        <w:spacing w:after="0" w:line="175"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i w:val="1"/>
          <w:iCs w:val="1"/>
          <w:color w:val="auto"/>
        </w:rPr>
        <w:t xml:space="preserve">“Restricted Stock Units” </w:t>
      </w:r>
      <w:r>
        <w:rPr>
          <w:rFonts w:ascii="Arial" w:cs="Arial" w:eastAsia="Arial" w:hAnsi="Arial"/>
          <w:sz w:val="22"/>
          <w:szCs w:val="22"/>
          <w:color w:val="auto"/>
        </w:rPr>
        <w:t>means an Award of stock units subject to such restrictions and conditions as the Administrator</w:t>
      </w:r>
      <w:r>
        <w:rPr>
          <w:rFonts w:ascii="Arial" w:cs="Arial" w:eastAsia="Arial" w:hAnsi="Arial"/>
          <w:sz w:val="22"/>
          <w:szCs w:val="22"/>
          <w:i w:val="1"/>
          <w:iCs w:val="1"/>
          <w:color w:val="auto"/>
        </w:rPr>
        <w:t xml:space="preserve"> </w:t>
      </w:r>
      <w:r>
        <w:rPr>
          <w:rFonts w:ascii="Arial" w:cs="Arial" w:eastAsia="Arial" w:hAnsi="Arial"/>
          <w:sz w:val="22"/>
          <w:szCs w:val="22"/>
          <w:color w:val="auto"/>
        </w:rPr>
        <w:t>may determine at the time of grant.</w:t>
      </w:r>
    </w:p>
    <w:p>
      <w:pPr>
        <w:spacing w:after="0" w:line="175" w:lineRule="exact"/>
        <w:rPr>
          <w:sz w:val="20"/>
          <w:szCs w:val="20"/>
          <w:color w:val="auto"/>
        </w:rPr>
      </w:pPr>
    </w:p>
    <w:p>
      <w:pPr>
        <w:ind w:firstLine="864"/>
        <w:spacing w:after="0" w:line="245" w:lineRule="auto"/>
        <w:rPr>
          <w:sz w:val="20"/>
          <w:szCs w:val="20"/>
          <w:color w:val="auto"/>
        </w:rPr>
      </w:pPr>
      <w:r>
        <w:rPr>
          <w:rFonts w:ascii="Arial" w:cs="Arial" w:eastAsia="Arial" w:hAnsi="Arial"/>
          <w:sz w:val="21"/>
          <w:szCs w:val="21"/>
          <w:i w:val="1"/>
          <w:iCs w:val="1"/>
          <w:color w:val="auto"/>
        </w:rPr>
        <w:t xml:space="preserve">“Sale Event” </w:t>
      </w:r>
      <w:r>
        <w:rPr>
          <w:rFonts w:ascii="Arial" w:cs="Arial" w:eastAsia="Arial" w:hAnsi="Arial"/>
          <w:sz w:val="21"/>
          <w:szCs w:val="21"/>
          <w:color w:val="auto"/>
        </w:rPr>
        <w:t>shall mean (i) the sale of all or substantially all of the assets of the Company on a consolidated basis to an</w:t>
      </w:r>
      <w:r>
        <w:rPr>
          <w:rFonts w:ascii="Arial" w:cs="Arial" w:eastAsia="Arial" w:hAnsi="Arial"/>
          <w:sz w:val="21"/>
          <w:szCs w:val="21"/>
          <w:i w:val="1"/>
          <w:iCs w:val="1"/>
          <w:color w:val="auto"/>
        </w:rPr>
        <w:t xml:space="preserve"> </w:t>
      </w:r>
      <w:r>
        <w:rPr>
          <w:rFonts w:ascii="Arial" w:cs="Arial" w:eastAsia="Arial" w:hAnsi="Arial"/>
          <w:sz w:val="21"/>
          <w:szCs w:val="21"/>
          <w:color w:val="auto"/>
        </w:rPr>
        <w:t>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72" w:name="page173"/>
    <w:bookmarkEnd w:id="172"/>
    <w:p>
      <w:pPr>
        <w:ind w:right="48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Sale Price</w:t>
      </w:r>
      <w:r>
        <w:rPr>
          <w:rFonts w:ascii="Arial" w:cs="Arial" w:eastAsia="Arial" w:hAnsi="Arial"/>
          <w:sz w:val="22"/>
          <w:szCs w:val="22"/>
          <w:color w:val="auto"/>
        </w:rPr>
        <w:t>” means the value as determined by the Administrator of the consideration payable, or otherwise to be received by stockholders, per share of Stock pursuant to a Sale Event.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i w:val="1"/>
          <w:iCs w:val="1"/>
          <w:color w:val="auto"/>
        </w:rPr>
        <w:t xml:space="preserve">“Section 409A” </w:t>
      </w:r>
      <w:r>
        <w:rPr>
          <w:rFonts w:ascii="Arial" w:cs="Arial" w:eastAsia="Arial" w:hAnsi="Arial"/>
          <w:sz w:val="19"/>
          <w:szCs w:val="19"/>
          <w:color w:val="auto"/>
        </w:rPr>
        <w:t>means Section 409A of the Code and the regulations and other guidance promulgated thereunder.</w:t>
      </w:r>
    </w:p>
    <w:p>
      <w:pPr>
        <w:spacing w:after="0" w:line="241" w:lineRule="exact"/>
        <w:rPr>
          <w:sz w:val="20"/>
          <w:szCs w:val="20"/>
          <w:color w:val="auto"/>
        </w:rPr>
      </w:pPr>
    </w:p>
    <w:p>
      <w:pPr>
        <w:ind w:right="140" w:firstLine="864"/>
        <w:spacing w:after="0" w:line="238" w:lineRule="auto"/>
        <w:rPr>
          <w:sz w:val="20"/>
          <w:szCs w:val="20"/>
          <w:color w:val="auto"/>
        </w:rPr>
      </w:pPr>
      <w:r>
        <w:rPr>
          <w:rFonts w:ascii="Arial" w:cs="Arial" w:eastAsia="Arial" w:hAnsi="Arial"/>
          <w:sz w:val="22"/>
          <w:szCs w:val="22"/>
          <w:i w:val="1"/>
          <w:iCs w:val="1"/>
          <w:color w:val="auto"/>
        </w:rPr>
        <w:t xml:space="preserve">“Service Relationship” </w:t>
      </w:r>
      <w:r>
        <w:rPr>
          <w:rFonts w:ascii="Arial" w:cs="Arial" w:eastAsia="Arial" w:hAnsi="Arial"/>
          <w:sz w:val="22"/>
          <w:szCs w:val="22"/>
          <w:color w:val="auto"/>
        </w:rPr>
        <w:t>means any relationship as a full-time employee, part-time employee, director or other advisor</w:t>
      </w:r>
      <w:r>
        <w:rPr>
          <w:rFonts w:ascii="Arial" w:cs="Arial" w:eastAsia="Arial" w:hAnsi="Arial"/>
          <w:sz w:val="22"/>
          <w:szCs w:val="22"/>
          <w:i w:val="1"/>
          <w:iCs w:val="1"/>
          <w:color w:val="auto"/>
        </w:rPr>
        <w:t xml:space="preserve"> </w:t>
      </w:r>
      <w:r>
        <w:rPr>
          <w:rFonts w:ascii="Arial" w:cs="Arial" w:eastAsia="Arial" w:hAnsi="Arial"/>
          <w:sz w:val="22"/>
          <w:szCs w:val="22"/>
          <w:color w:val="auto"/>
        </w:rPr>
        <w:t>(including Consultants) of the Company or any Subsidiary or any successor entity (e.g., a Service Relationship shall be deemed to continue without interruption in the event an individual’s status changes from full-time employee to part-time employee or Consultant).</w:t>
      </w:r>
    </w:p>
    <w:p>
      <w:pPr>
        <w:spacing w:after="0" w:line="185" w:lineRule="exact"/>
        <w:rPr>
          <w:sz w:val="20"/>
          <w:szCs w:val="20"/>
          <w:color w:val="auto"/>
        </w:rPr>
      </w:pPr>
    </w:p>
    <w:p>
      <w:pPr>
        <w:ind w:right="220" w:firstLine="864"/>
        <w:spacing w:after="0" w:line="250" w:lineRule="auto"/>
        <w:rPr>
          <w:sz w:val="20"/>
          <w:szCs w:val="20"/>
          <w:color w:val="auto"/>
        </w:rPr>
      </w:pPr>
      <w:r>
        <w:rPr>
          <w:rFonts w:ascii="Arial" w:cs="Arial" w:eastAsia="Arial" w:hAnsi="Arial"/>
          <w:sz w:val="22"/>
          <w:szCs w:val="22"/>
          <w:i w:val="1"/>
          <w:iCs w:val="1"/>
          <w:color w:val="auto"/>
        </w:rPr>
        <w:t xml:space="preserve">“Stock” </w:t>
      </w:r>
      <w:r>
        <w:rPr>
          <w:rFonts w:ascii="Arial" w:cs="Arial" w:eastAsia="Arial" w:hAnsi="Arial"/>
          <w:sz w:val="22"/>
          <w:szCs w:val="22"/>
          <w:color w:val="auto"/>
        </w:rPr>
        <w:t>means the Common Stock, par value $0.0001 per share, of the Company, subject to adjustments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3.</w:t>
      </w:r>
    </w:p>
    <w:p>
      <w:pPr>
        <w:spacing w:after="0" w:line="175" w:lineRule="exact"/>
        <w:rPr>
          <w:sz w:val="20"/>
          <w:szCs w:val="20"/>
          <w:color w:val="auto"/>
        </w:rPr>
      </w:pPr>
    </w:p>
    <w:p>
      <w:pPr>
        <w:ind w:firstLine="864"/>
        <w:spacing w:after="0" w:line="238" w:lineRule="auto"/>
        <w:rPr>
          <w:sz w:val="20"/>
          <w:szCs w:val="20"/>
          <w:color w:val="auto"/>
        </w:rPr>
      </w:pPr>
      <w:r>
        <w:rPr>
          <w:rFonts w:ascii="Arial" w:cs="Arial" w:eastAsia="Arial" w:hAnsi="Arial"/>
          <w:sz w:val="22"/>
          <w:szCs w:val="22"/>
          <w:i w:val="1"/>
          <w:iCs w:val="1"/>
          <w:color w:val="auto"/>
        </w:rPr>
        <w:t xml:space="preserve">“Stock Appreciation Right” </w:t>
      </w:r>
      <w:r>
        <w:rPr>
          <w:rFonts w:ascii="Arial" w:cs="Arial" w:eastAsia="Arial" w:hAnsi="Arial"/>
          <w:sz w:val="22"/>
          <w:szCs w:val="22"/>
          <w:color w:val="auto"/>
        </w:rPr>
        <w:t>means an Award entitling the recipient to receive shares of Stock (or cash, to the extent</w:t>
      </w:r>
      <w:r>
        <w:rPr>
          <w:rFonts w:ascii="Arial" w:cs="Arial" w:eastAsia="Arial" w:hAnsi="Arial"/>
          <w:sz w:val="22"/>
          <w:szCs w:val="22"/>
          <w:i w:val="1"/>
          <w:iCs w:val="1"/>
          <w:color w:val="auto"/>
        </w:rPr>
        <w:t xml:space="preserve"> </w:t>
      </w:r>
      <w:r>
        <w:rPr>
          <w:rFonts w:ascii="Arial" w:cs="Arial" w:eastAsia="Arial" w:hAnsi="Arial"/>
          <w:sz w:val="22"/>
          <w:szCs w:val="22"/>
          <w:color w:val="auto"/>
        </w:rPr>
        <w:t>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85" w:lineRule="exact"/>
        <w:rPr>
          <w:sz w:val="20"/>
          <w:szCs w:val="20"/>
          <w:color w:val="auto"/>
        </w:rPr>
      </w:pPr>
    </w:p>
    <w:p>
      <w:pPr>
        <w:ind w:right="100" w:firstLine="864"/>
        <w:spacing w:after="0" w:line="250" w:lineRule="auto"/>
        <w:rPr>
          <w:sz w:val="20"/>
          <w:szCs w:val="20"/>
          <w:color w:val="auto"/>
        </w:rPr>
      </w:pPr>
      <w:r>
        <w:rPr>
          <w:rFonts w:ascii="Arial" w:cs="Arial" w:eastAsia="Arial" w:hAnsi="Arial"/>
          <w:sz w:val="22"/>
          <w:szCs w:val="22"/>
          <w:i w:val="1"/>
          <w:iCs w:val="1"/>
          <w:color w:val="auto"/>
        </w:rPr>
        <w:t xml:space="preserve">“Subsidiary” </w:t>
      </w:r>
      <w:r>
        <w:rPr>
          <w:rFonts w:ascii="Arial" w:cs="Arial" w:eastAsia="Arial" w:hAnsi="Arial"/>
          <w:sz w:val="22"/>
          <w:szCs w:val="22"/>
          <w:color w:val="auto"/>
        </w:rPr>
        <w:t>means any corporation or other entity (other than the Company) in which the Company has at least a 50</w:t>
      </w:r>
      <w:r>
        <w:rPr>
          <w:rFonts w:ascii="Arial" w:cs="Arial" w:eastAsia="Arial" w:hAnsi="Arial"/>
          <w:sz w:val="22"/>
          <w:szCs w:val="22"/>
          <w:i w:val="1"/>
          <w:iCs w:val="1"/>
          <w:color w:val="auto"/>
        </w:rPr>
        <w:t xml:space="preserve"> </w:t>
      </w:r>
      <w:r>
        <w:rPr>
          <w:rFonts w:ascii="Arial" w:cs="Arial" w:eastAsia="Arial" w:hAnsi="Arial"/>
          <w:sz w:val="22"/>
          <w:szCs w:val="22"/>
          <w:color w:val="auto"/>
        </w:rPr>
        <w:t>percent interest, either directly or indirectly.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“Unrestricted Stock Award” </w:t>
      </w:r>
      <w:r>
        <w:rPr>
          <w:rFonts w:ascii="Arial" w:cs="Arial" w:eastAsia="Arial" w:hAnsi="Arial"/>
          <w:sz w:val="22"/>
          <w:szCs w:val="22"/>
          <w:color w:val="auto"/>
        </w:rPr>
        <w:t>means an Award of shares of Stock free of any restrictions.</w:t>
      </w:r>
    </w:p>
    <w:p>
      <w:pPr>
        <w:spacing w:after="0" w:line="206" w:lineRule="exact"/>
        <w:rPr>
          <w:sz w:val="20"/>
          <w:szCs w:val="20"/>
          <w:color w:val="auto"/>
        </w:rPr>
      </w:pPr>
    </w:p>
    <w:p>
      <w:pPr>
        <w:ind w:left="1740" w:right="780" w:hanging="1461"/>
        <w:spacing w:after="0" w:line="250"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ADMINISTRATION OF PLAN; ADMINISTRATOR AUTHORITY TO SELECT GRANTEES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DETERMINE AWARDS</w:t>
      </w:r>
    </w:p>
    <w:p>
      <w:pPr>
        <w:spacing w:after="0" w:line="175" w:lineRule="exact"/>
        <w:rPr>
          <w:sz w:val="20"/>
          <w:szCs w:val="20"/>
          <w:color w:val="auto"/>
        </w:rPr>
      </w:pPr>
    </w:p>
    <w:p>
      <w:pPr>
        <w:ind w:left="1760" w:hanging="888"/>
        <w:spacing w:after="0"/>
        <w:tabs>
          <w:tab w:leader="none" w:pos="176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Administration of Plan</w:t>
      </w:r>
      <w:r>
        <w:rPr>
          <w:rFonts w:ascii="Arial" w:cs="Arial" w:eastAsia="Arial" w:hAnsi="Arial"/>
          <w:sz w:val="22"/>
          <w:szCs w:val="22"/>
          <w:color w:val="auto"/>
        </w:rPr>
        <w:t>. The Plan shall be administered by the Administrator.</w:t>
      </w:r>
    </w:p>
    <w:p>
      <w:pPr>
        <w:spacing w:after="0" w:line="206" w:lineRule="exact"/>
        <w:rPr>
          <w:rFonts w:ascii="Arial" w:cs="Arial" w:eastAsia="Arial" w:hAnsi="Arial"/>
          <w:sz w:val="22"/>
          <w:szCs w:val="22"/>
          <w:color w:val="auto"/>
        </w:rPr>
      </w:pPr>
    </w:p>
    <w:p>
      <w:pPr>
        <w:ind w:right="120" w:firstLine="872"/>
        <w:spacing w:after="0" w:line="250" w:lineRule="auto"/>
        <w:tabs>
          <w:tab w:leader="none" w:pos="1763"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Powers of Administrator</w:t>
      </w:r>
      <w:r>
        <w:rPr>
          <w:rFonts w:ascii="Arial" w:cs="Arial" w:eastAsia="Arial" w:hAnsi="Arial"/>
          <w:sz w:val="22"/>
          <w:szCs w:val="22"/>
          <w:color w:val="auto"/>
        </w:rPr>
        <w:t>. The Administrator shall have the power and authority to grant Awards consistent with the terms of the Plan, including the power and authority:</w:t>
      </w:r>
    </w:p>
    <w:p>
      <w:pPr>
        <w:spacing w:after="0" w:line="174" w:lineRule="exact"/>
        <w:rPr>
          <w:rFonts w:ascii="Arial" w:cs="Arial" w:eastAsia="Arial" w:hAnsi="Arial"/>
          <w:sz w:val="22"/>
          <w:szCs w:val="22"/>
          <w:color w:val="auto"/>
        </w:rPr>
      </w:pPr>
    </w:p>
    <w:p>
      <w:pPr>
        <w:ind w:right="680" w:firstLine="1735"/>
        <w:spacing w:after="0" w:line="250" w:lineRule="auto"/>
        <w:tabs>
          <w:tab w:leader="none" w:pos="2579" w:val="left"/>
        </w:tabs>
        <w:numPr>
          <w:ilvl w:val="1"/>
          <w:numId w:val="112"/>
        </w:numPr>
        <w:rPr>
          <w:rFonts w:ascii="Arial" w:cs="Arial" w:eastAsia="Arial" w:hAnsi="Arial"/>
          <w:sz w:val="22"/>
          <w:szCs w:val="22"/>
          <w:color w:val="auto"/>
        </w:rPr>
      </w:pPr>
      <w:r>
        <w:rPr>
          <w:rFonts w:ascii="Arial" w:cs="Arial" w:eastAsia="Arial" w:hAnsi="Arial"/>
          <w:sz w:val="22"/>
          <w:szCs w:val="22"/>
          <w:color w:val="auto"/>
        </w:rPr>
        <w:t xml:space="preserve">to select the individuals to whom Awards may from time to time be granted; </w:t>
      </w:r>
      <w:r>
        <w:rPr>
          <w:rFonts w:ascii="Arial" w:cs="Arial" w:eastAsia="Arial" w:hAnsi="Arial"/>
          <w:sz w:val="22"/>
          <w:szCs w:val="22"/>
          <w:i w:val="1"/>
          <w:iCs w:val="1"/>
          <w:color w:val="auto"/>
        </w:rPr>
        <w:t>provided</w:t>
      </w:r>
      <w:r>
        <w:rPr>
          <w:rFonts w:ascii="Arial" w:cs="Arial" w:eastAsia="Arial" w:hAnsi="Arial"/>
          <w:sz w:val="22"/>
          <w:szCs w:val="22"/>
          <w:color w:val="auto"/>
        </w:rPr>
        <w:t>, such individuals are Eligible Employees;</w:t>
      </w:r>
    </w:p>
    <w:p>
      <w:pPr>
        <w:spacing w:after="0" w:line="174" w:lineRule="exact"/>
        <w:rPr>
          <w:rFonts w:ascii="Arial" w:cs="Arial" w:eastAsia="Arial" w:hAnsi="Arial"/>
          <w:sz w:val="22"/>
          <w:szCs w:val="22"/>
          <w:color w:val="auto"/>
        </w:rPr>
      </w:pPr>
    </w:p>
    <w:p>
      <w:pPr>
        <w:ind w:right="420" w:firstLine="1735"/>
        <w:spacing w:after="0"/>
        <w:tabs>
          <w:tab w:leader="none" w:pos="2639"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to determine the time or times of grant, and the extent, if any, of Stock Options, Stock Appreciation Rights, Restricted Stock Awards, Restricted Stock Units, Unrestricted Stock Awards, and Dividend Equivalent Rights, or any combination of the foregoing, granted to any one or more grantees;</w:t>
      </w:r>
    </w:p>
    <w:p>
      <w:pPr>
        <w:spacing w:after="0" w:line="186" w:lineRule="exact"/>
        <w:rPr>
          <w:rFonts w:ascii="Arial" w:cs="Arial" w:eastAsia="Arial" w:hAnsi="Arial"/>
          <w:sz w:val="22"/>
          <w:szCs w:val="22"/>
          <w:color w:val="auto"/>
        </w:rPr>
      </w:pPr>
    </w:p>
    <w:p>
      <w:pPr>
        <w:ind w:left="2700" w:hanging="965"/>
        <w:spacing w:after="0"/>
        <w:tabs>
          <w:tab w:leader="none" w:pos="270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to determine the number of shares of Stock to be covered by any Award;</w:t>
      </w:r>
    </w:p>
    <w:p>
      <w:pPr>
        <w:spacing w:after="0" w:line="206" w:lineRule="exact"/>
        <w:rPr>
          <w:rFonts w:ascii="Arial" w:cs="Arial" w:eastAsia="Arial" w:hAnsi="Arial"/>
          <w:sz w:val="22"/>
          <w:szCs w:val="22"/>
          <w:color w:val="auto"/>
        </w:rPr>
      </w:pPr>
    </w:p>
    <w:p>
      <w:pPr>
        <w:ind w:right="260" w:firstLine="1735"/>
        <w:spacing w:after="0"/>
        <w:tabs>
          <w:tab w:leader="none" w:pos="2687"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173" w:name="page174"/>
    <w:bookmarkEnd w:id="173"/>
    <w:p>
      <w:pPr>
        <w:ind w:left="2640" w:hanging="905"/>
        <w:spacing w:after="0"/>
        <w:tabs>
          <w:tab w:leader="none" w:pos="26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to accelerate at any time the exercisability or vesting of all or any portion of any Award;</w:t>
      </w:r>
    </w:p>
    <w:p>
      <w:pPr>
        <w:spacing w:after="0" w:line="206" w:lineRule="exact"/>
        <w:rPr>
          <w:rFonts w:ascii="Arial" w:cs="Arial" w:eastAsia="Arial" w:hAnsi="Arial"/>
          <w:sz w:val="22"/>
          <w:szCs w:val="22"/>
          <w:color w:val="auto"/>
        </w:rPr>
      </w:pPr>
    </w:p>
    <w:p>
      <w:pPr>
        <w:ind w:left="2700" w:hanging="965"/>
        <w:spacing w:after="0"/>
        <w:tabs>
          <w:tab w:leader="none" w:pos="270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subject to the provisions of Section 5(c), to extend at any time the period in which Stock Options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may be exercised; and</w:t>
      </w:r>
    </w:p>
    <w:p>
      <w:pPr>
        <w:spacing w:after="0" w:line="188" w:lineRule="exact"/>
        <w:rPr>
          <w:rFonts w:ascii="Arial" w:cs="Arial" w:eastAsia="Arial" w:hAnsi="Arial"/>
          <w:sz w:val="19"/>
          <w:szCs w:val="19"/>
          <w:color w:val="auto"/>
        </w:rPr>
      </w:pPr>
    </w:p>
    <w:p>
      <w:pPr>
        <w:ind w:firstLine="1735"/>
        <w:spacing w:after="0" w:line="287" w:lineRule="auto"/>
        <w:tabs>
          <w:tab w:leader="none" w:pos="274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All decisions and interpretations of the Administrator shall be binding on all persons, including the Company and Plan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grantees.</w:t>
      </w:r>
    </w:p>
    <w:p>
      <w:pPr>
        <w:spacing w:after="0" w:line="188" w:lineRule="exact"/>
        <w:rPr>
          <w:sz w:val="20"/>
          <w:szCs w:val="20"/>
          <w:color w:val="auto"/>
        </w:rPr>
      </w:pPr>
    </w:p>
    <w:p>
      <w:pPr>
        <w:ind w:right="180" w:firstLine="872"/>
        <w:spacing w:after="0"/>
        <w:tabs>
          <w:tab w:leader="none" w:pos="1751"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Award Certificate</w:t>
      </w:r>
      <w:r>
        <w:rPr>
          <w:rFonts w:ascii="Arial" w:cs="Arial" w:eastAsia="Arial" w:hAnsi="Arial"/>
          <w:sz w:val="22"/>
          <w:szCs w:val="22"/>
          <w:color w:val="auto"/>
        </w:rPr>
        <w:t>. Awards under the Plan shall be evidenced by Award Certificates that set forth the terms, conditions and limitations for each Award which may include, without limitation, the term of an Award and the provisions applicable in the event employment or service of the grantee terminates.</w:t>
      </w:r>
    </w:p>
    <w:p>
      <w:pPr>
        <w:spacing w:after="0" w:line="186" w:lineRule="exact"/>
        <w:rPr>
          <w:rFonts w:ascii="Arial" w:cs="Arial" w:eastAsia="Arial" w:hAnsi="Arial"/>
          <w:sz w:val="22"/>
          <w:szCs w:val="22"/>
          <w:color w:val="auto"/>
        </w:rPr>
      </w:pPr>
    </w:p>
    <w:p>
      <w:pPr>
        <w:ind w:right="40" w:firstLine="872"/>
        <w:spacing w:after="0" w:line="277" w:lineRule="auto"/>
        <w:tabs>
          <w:tab w:leader="none" w:pos="1763"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51" w:lineRule="exact"/>
        <w:rPr>
          <w:rFonts w:ascii="Arial" w:cs="Arial" w:eastAsia="Arial" w:hAnsi="Arial"/>
          <w:sz w:val="19"/>
          <w:szCs w:val="19"/>
          <w:color w:val="auto"/>
        </w:rPr>
      </w:pPr>
    </w:p>
    <w:p>
      <w:pPr>
        <w:ind w:right="60" w:firstLine="872"/>
        <w:spacing w:after="0" w:line="272" w:lineRule="auto"/>
        <w:tabs>
          <w:tab w:leader="none" w:pos="1751"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Foreign Award Recipients</w:t>
      </w:r>
      <w:r>
        <w:rPr>
          <w:rFonts w:ascii="Arial" w:cs="Arial" w:eastAsia="Arial" w:hAnsi="Arial"/>
          <w:sz w:val="19"/>
          <w:szCs w:val="19"/>
          <w:color w:val="auto"/>
        </w:rPr>
        <w:t>. Notwithstanding any provision of the Plan to the contrary, in order to comply with the laws in other countries in which the Company and its Subsidiaries operate or have employees eligible for Awards, the Administrator, in its sole discretion, shall have the power and authority to: (i) determine which Subsidiaries shall be covered by the Plan; (ii) determine which Eligible Employees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and subject to the Nasdaq Listing Rule 5635(c)(4) and related guidelines and interpretations; provided, however, that no such subplans and/or modifications shall increase the share limitation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or NASDAQ Listing Rule 5635(c).</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74" w:name="page175"/>
    <w:bookmarkEnd w:id="174"/>
    <w:p>
      <w:pPr>
        <w:ind w:left="240"/>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STOCK ISSUABLE UNDER THE PLAN; MERGERS; SUBSTITUTION</w:t>
      </w:r>
    </w:p>
    <w:p>
      <w:pPr>
        <w:spacing w:after="0" w:line="206" w:lineRule="exact"/>
        <w:rPr>
          <w:sz w:val="20"/>
          <w:szCs w:val="20"/>
          <w:color w:val="auto"/>
        </w:rPr>
      </w:pPr>
    </w:p>
    <w:p>
      <w:pPr>
        <w:ind w:left="-40" w:right="80" w:firstLine="872"/>
        <w:spacing w:after="0" w:line="274" w:lineRule="auto"/>
        <w:tabs>
          <w:tab w:leader="none" w:pos="1711"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Stock Issuable</w:t>
      </w:r>
      <w:r>
        <w:rPr>
          <w:rFonts w:ascii="Arial" w:cs="Arial" w:eastAsia="Arial" w:hAnsi="Arial"/>
          <w:sz w:val="19"/>
          <w:szCs w:val="19"/>
          <w:color w:val="auto"/>
        </w:rPr>
        <w:t>. The maximum number of shares of Stock reserved and available for issuance under the Plan shall be 1,700,000 shares,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or settlement)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 shares of Stock may be issued up to such maximum number pursuant to any type or types of Award. The shares available for issuance under the Plan may be authorized but unissued shares of Stock or shares of Stock reacquired by the Company.</w:t>
      </w:r>
    </w:p>
    <w:p>
      <w:pPr>
        <w:spacing w:after="0" w:line="158" w:lineRule="exact"/>
        <w:rPr>
          <w:rFonts w:ascii="Arial" w:cs="Arial" w:eastAsia="Arial" w:hAnsi="Arial"/>
          <w:sz w:val="19"/>
          <w:szCs w:val="19"/>
          <w:color w:val="auto"/>
        </w:rPr>
      </w:pPr>
    </w:p>
    <w:p>
      <w:pPr>
        <w:ind w:left="-40" w:firstLine="872"/>
        <w:spacing w:after="0" w:line="270" w:lineRule="auto"/>
        <w:tabs>
          <w:tab w:leader="none" w:pos="1723"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Changes in Stock</w:t>
      </w:r>
      <w:r>
        <w:rPr>
          <w:rFonts w:ascii="Arial" w:cs="Arial" w:eastAsia="Arial" w:hAnsi="Arial"/>
          <w:sz w:val="19"/>
          <w:szCs w:val="19"/>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68" w:lineRule="exact"/>
        <w:rPr>
          <w:rFonts w:ascii="Arial" w:cs="Arial" w:eastAsia="Arial" w:hAnsi="Arial"/>
          <w:sz w:val="19"/>
          <w:szCs w:val="19"/>
          <w:color w:val="auto"/>
        </w:rPr>
      </w:pPr>
    </w:p>
    <w:p>
      <w:pPr>
        <w:ind w:left="-40" w:right="20" w:firstLine="872"/>
        <w:spacing w:after="0" w:line="279" w:lineRule="auto"/>
        <w:tabs>
          <w:tab w:leader="none" w:pos="1711"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Mergers and Other Transactions</w:t>
      </w:r>
      <w:r>
        <w:rPr>
          <w:rFonts w:ascii="Arial" w:cs="Arial" w:eastAsia="Arial" w:hAnsi="Arial"/>
          <w:sz w:val="19"/>
          <w:szCs w:val="19"/>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75565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60" w:top="334" w:right="359" w:bottom="1440" w:gutter="0" w:footer="0" w:header="0"/>
        </w:sectPr>
      </w:pPr>
    </w:p>
    <w:bookmarkStart w:id="175" w:name="page176"/>
    <w:bookmarkEnd w:id="175"/>
    <w:p>
      <w:pPr>
        <w:ind w:right="40"/>
        <w:spacing w:after="0" w:line="270" w:lineRule="auto"/>
        <w:rPr>
          <w:sz w:val="20"/>
          <w:szCs w:val="20"/>
          <w:color w:val="auto"/>
        </w:rPr>
      </w:pPr>
      <w:r>
        <w:rPr>
          <w:rFonts w:ascii="Arial" w:cs="Arial" w:eastAsia="Arial" w:hAnsi="Arial"/>
          <w:sz w:val="19"/>
          <w:szCs w:val="19"/>
          <w:color w:val="auto"/>
        </w:rPr>
        <w:t>the relevant Award Certificate, all Options and Stock Appreciation Rights that are not exercisable immediately prior to the 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thereunder at prices not in excess of the Sale Price) and (B) the aggregate exercise price of all such outstanding Options and Stock Appreciation Rights (provided that, in the case of an Option or Stock Appreciation Right with an exercise price equal to or less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200" w:lineRule="exact"/>
        <w:rPr>
          <w:sz w:val="20"/>
          <w:szCs w:val="20"/>
          <w:color w:val="auto"/>
        </w:rPr>
      </w:pPr>
    </w:p>
    <w:p>
      <w:pPr>
        <w:spacing w:after="0" w:line="21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ELIGIBILITY</w:t>
      </w:r>
    </w:p>
    <w:p>
      <w:pPr>
        <w:spacing w:after="0" w:line="206" w:lineRule="exact"/>
        <w:rPr>
          <w:sz w:val="20"/>
          <w:szCs w:val="20"/>
          <w:color w:val="auto"/>
        </w:rPr>
      </w:pPr>
    </w:p>
    <w:p>
      <w:pPr>
        <w:ind w:right="420" w:firstLine="864"/>
        <w:spacing w:after="0"/>
        <w:rPr>
          <w:sz w:val="20"/>
          <w:szCs w:val="20"/>
          <w:color w:val="auto"/>
        </w:rPr>
      </w:pPr>
      <w:r>
        <w:rPr>
          <w:rFonts w:ascii="Arial" w:cs="Arial" w:eastAsia="Arial" w:hAnsi="Arial"/>
          <w:sz w:val="22"/>
          <w:szCs w:val="22"/>
          <w:color w:val="auto"/>
        </w:rPr>
        <w:t>Grantees under the Plan will be such Eligible Employees to whom the Company may issue securities without stockholder approval in accordance with Rules 5635(c)(4) of the Marketplace Rules of the Nasdaq Stock Market, Inc., as are selected from time to time by the Administrator in its sole discretion.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STOCK OPTIONS</w:t>
      </w:r>
    </w:p>
    <w:p>
      <w:pPr>
        <w:spacing w:after="0" w:line="206" w:lineRule="exact"/>
        <w:rPr>
          <w:sz w:val="20"/>
          <w:szCs w:val="20"/>
          <w:color w:val="auto"/>
        </w:rPr>
      </w:pPr>
    </w:p>
    <w:p>
      <w:pPr>
        <w:jc w:val="both"/>
        <w:ind w:right="360" w:firstLine="872"/>
        <w:spacing w:after="0"/>
        <w:tabs>
          <w:tab w:leader="none" w:pos="1751"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Award of Stock Options</w:t>
      </w:r>
      <w:r>
        <w:rPr>
          <w:rFonts w:ascii="Arial" w:cs="Arial" w:eastAsia="Arial" w:hAnsi="Arial"/>
          <w:sz w:val="22"/>
          <w:szCs w:val="22"/>
          <w:color w:val="auto"/>
        </w:rPr>
        <w:t>. The Administrator may grant Stock Options under the Plan. Any Stock Option granted under the Plan shall be in such form as the Administrator may from time to time approve. All Stock Options granted under the Plan shall be non-qualified stock options.</w:t>
      </w:r>
    </w:p>
    <w:p>
      <w:pPr>
        <w:spacing w:after="0" w:line="186" w:lineRule="exact"/>
        <w:rPr>
          <w:sz w:val="20"/>
          <w:szCs w:val="20"/>
          <w:color w:val="auto"/>
        </w:rPr>
      </w:pPr>
    </w:p>
    <w:p>
      <w:pPr>
        <w:jc w:val="both"/>
        <w:ind w:right="640" w:firstLine="864"/>
        <w:spacing w:after="0"/>
        <w:rPr>
          <w:sz w:val="20"/>
          <w:szCs w:val="20"/>
          <w:color w:val="auto"/>
        </w:rPr>
      </w:pPr>
      <w:r>
        <w:rPr>
          <w:rFonts w:ascii="Arial" w:cs="Arial" w:eastAsia="Arial" w:hAnsi="Arial"/>
          <w:sz w:val="22"/>
          <w:szCs w:val="22"/>
          <w:color w:val="auto"/>
        </w:rPr>
        <w:t>Stock Options granted pursuant to this Section 5 shall be subject to the following terms and conditions and shall contain such additional terms and conditions, not inconsistent with the terms of the Plan, as the Administrator shall deem desirable.</w:t>
      </w:r>
    </w:p>
    <w:p>
      <w:pPr>
        <w:spacing w:after="0" w:line="186" w:lineRule="exact"/>
        <w:rPr>
          <w:sz w:val="20"/>
          <w:szCs w:val="20"/>
          <w:color w:val="auto"/>
        </w:rPr>
      </w:pPr>
    </w:p>
    <w:p>
      <w:pPr>
        <w:ind w:firstLine="872"/>
        <w:spacing w:after="0"/>
        <w:tabs>
          <w:tab w:leader="none" w:pos="1763"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exercise price per share for the Stock covered by a Stock Option granted pursuant to this Section 5 shall be determined by the Administrator at the time of grant but shall not be less than 100 percent of the Fair Market Value on the date of grant.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76" w:name="page177"/>
    <w:bookmarkEnd w:id="176"/>
    <w:p>
      <w:pPr>
        <w:ind w:right="160" w:firstLine="872"/>
        <w:spacing w:after="0" w:line="250" w:lineRule="auto"/>
        <w:tabs>
          <w:tab w:leader="none" w:pos="1751"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Option Term</w:t>
      </w:r>
      <w:r>
        <w:rPr>
          <w:rFonts w:ascii="Arial" w:cs="Arial" w:eastAsia="Arial" w:hAnsi="Arial"/>
          <w:sz w:val="22"/>
          <w:szCs w:val="22"/>
          <w:color w:val="auto"/>
        </w:rPr>
        <w:t>. The term of each Stock Option shall be fixed by the Administrator, but no Stock Option shall be exercisable more than ten years after the date the Stock Option is granted.</w:t>
      </w:r>
    </w:p>
    <w:p>
      <w:pPr>
        <w:spacing w:after="0" w:line="174" w:lineRule="exact"/>
        <w:rPr>
          <w:rFonts w:ascii="Arial" w:cs="Arial" w:eastAsia="Arial" w:hAnsi="Arial"/>
          <w:sz w:val="22"/>
          <w:szCs w:val="22"/>
          <w:color w:val="auto"/>
        </w:rPr>
      </w:pPr>
    </w:p>
    <w:p>
      <w:pPr>
        <w:ind w:firstLine="872"/>
        <w:spacing w:after="0" w:line="287" w:lineRule="auto"/>
        <w:tabs>
          <w:tab w:leader="none" w:pos="1763"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Exercisability; Rights of a Stockholder</w:t>
      </w:r>
      <w:r>
        <w:rPr>
          <w:rFonts w:ascii="Arial" w:cs="Arial" w:eastAsia="Arial" w:hAnsi="Arial"/>
          <w:sz w:val="19"/>
          <w:szCs w:val="19"/>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42" w:lineRule="exact"/>
        <w:rPr>
          <w:rFonts w:ascii="Arial" w:cs="Arial" w:eastAsia="Arial" w:hAnsi="Arial"/>
          <w:sz w:val="19"/>
          <w:szCs w:val="19"/>
          <w:color w:val="auto"/>
        </w:rPr>
      </w:pPr>
    </w:p>
    <w:p>
      <w:pPr>
        <w:ind w:right="20" w:firstLine="872"/>
        <w:spacing w:after="0" w:line="297" w:lineRule="auto"/>
        <w:tabs>
          <w:tab w:leader="none" w:pos="1751"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33" w:lineRule="exact"/>
        <w:rPr>
          <w:rFonts w:ascii="Arial" w:cs="Arial" w:eastAsia="Arial" w:hAnsi="Arial"/>
          <w:sz w:val="19"/>
          <w:szCs w:val="19"/>
          <w:color w:val="auto"/>
        </w:rPr>
      </w:pPr>
    </w:p>
    <w:p>
      <w:pPr>
        <w:ind w:left="2580" w:hanging="845"/>
        <w:spacing w:after="0"/>
        <w:tabs>
          <w:tab w:leader="none" w:pos="25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In cash, by certified or bank check or other instrument acceptable to the Administrator;</w:t>
      </w:r>
    </w:p>
    <w:p>
      <w:pPr>
        <w:spacing w:after="0" w:line="206" w:lineRule="exact"/>
        <w:rPr>
          <w:rFonts w:ascii="Arial" w:cs="Arial" w:eastAsia="Arial" w:hAnsi="Arial"/>
          <w:sz w:val="22"/>
          <w:szCs w:val="22"/>
          <w:color w:val="auto"/>
        </w:rPr>
      </w:pPr>
    </w:p>
    <w:p>
      <w:pPr>
        <w:ind w:right="20" w:firstLine="1735"/>
        <w:spacing w:after="0"/>
        <w:tabs>
          <w:tab w:leader="none" w:pos="2639"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86" w:lineRule="exact"/>
        <w:rPr>
          <w:rFonts w:ascii="Arial" w:cs="Arial" w:eastAsia="Arial" w:hAnsi="Arial"/>
          <w:sz w:val="22"/>
          <w:szCs w:val="22"/>
          <w:color w:val="auto"/>
        </w:rPr>
      </w:pPr>
    </w:p>
    <w:p>
      <w:pPr>
        <w:ind w:right="120" w:firstLine="1735"/>
        <w:spacing w:after="0" w:line="249" w:lineRule="auto"/>
        <w:tabs>
          <w:tab w:leader="none" w:pos="2699" w:val="left"/>
        </w:tabs>
        <w:numPr>
          <w:ilvl w:val="1"/>
          <w:numId w:val="118"/>
        </w:numPr>
        <w:rPr>
          <w:rFonts w:ascii="Arial" w:cs="Arial" w:eastAsia="Arial" w:hAnsi="Arial"/>
          <w:sz w:val="21"/>
          <w:szCs w:val="21"/>
          <w:color w:val="auto"/>
        </w:rPr>
      </w:pPr>
      <w:r>
        <w:rPr>
          <w:rFonts w:ascii="Arial" w:cs="Arial" w:eastAsia="Arial" w:hAnsi="Arial"/>
          <w:sz w:val="21"/>
          <w:szCs w:val="21"/>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Administrator shall prescribe as a condition of such payment procedure; or</w:t>
      </w:r>
    </w:p>
    <w:p>
      <w:pPr>
        <w:spacing w:after="0" w:line="178" w:lineRule="exact"/>
        <w:rPr>
          <w:rFonts w:ascii="Arial" w:cs="Arial" w:eastAsia="Arial" w:hAnsi="Arial"/>
          <w:sz w:val="21"/>
          <w:szCs w:val="21"/>
          <w:color w:val="auto"/>
        </w:rPr>
      </w:pPr>
    </w:p>
    <w:p>
      <w:pPr>
        <w:ind w:right="40" w:firstLine="1735"/>
        <w:spacing w:after="0"/>
        <w:tabs>
          <w:tab w:leader="none" w:pos="2687" w:val="left"/>
        </w:tabs>
        <w:numPr>
          <w:ilvl w:val="1"/>
          <w:numId w:val="118"/>
        </w:numPr>
        <w:rPr>
          <w:rFonts w:ascii="Arial" w:cs="Arial" w:eastAsia="Arial" w:hAnsi="Arial"/>
          <w:sz w:val="22"/>
          <w:szCs w:val="22"/>
          <w:color w:val="auto"/>
        </w:rPr>
      </w:pPr>
      <w:r>
        <w:rPr>
          <w:rFonts w:ascii="Arial" w:cs="Arial" w:eastAsia="Arial" w:hAnsi="Arial"/>
          <w:sz w:val="22"/>
          <w:szCs w:val="22"/>
          <w:color w:val="auto"/>
        </w:rPr>
        <w:t>By a “net exercise” arrangement pursuant to which the Company will reduce the number of shares of Stock issuable upon exercise by the largest whole number of shares with a Fair Market Value that does not exceed the aggregate exercise price.</w:t>
      </w:r>
    </w:p>
    <w:p>
      <w:pPr>
        <w:spacing w:after="0" w:line="186"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the optionee’s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7" w:name="page178"/>
    <w:bookmarkEnd w:id="177"/>
    <w:p>
      <w:pPr>
        <w:ind w:left="260"/>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STOCK APPRECIATION RIGHTS</w:t>
      </w:r>
    </w:p>
    <w:p>
      <w:pPr>
        <w:spacing w:after="0" w:line="206" w:lineRule="exact"/>
        <w:rPr>
          <w:sz w:val="20"/>
          <w:szCs w:val="20"/>
          <w:color w:val="auto"/>
        </w:rPr>
      </w:pPr>
    </w:p>
    <w:p>
      <w:pPr>
        <w:ind w:left="-20" w:right="180" w:firstLine="872"/>
        <w:spacing w:after="0" w:line="249" w:lineRule="auto"/>
        <w:tabs>
          <w:tab w:leader="none" w:pos="1731"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Award of Stock Appreciation Rights</w:t>
      </w:r>
      <w:r>
        <w:rPr>
          <w:rFonts w:ascii="Arial" w:cs="Arial" w:eastAsia="Arial" w:hAnsi="Arial"/>
          <w:sz w:val="21"/>
          <w:szCs w:val="21"/>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78" w:lineRule="exact"/>
        <w:rPr>
          <w:rFonts w:ascii="Arial" w:cs="Arial" w:eastAsia="Arial" w:hAnsi="Arial"/>
          <w:sz w:val="21"/>
          <w:szCs w:val="21"/>
          <w:color w:val="auto"/>
        </w:rPr>
      </w:pPr>
    </w:p>
    <w:p>
      <w:pPr>
        <w:ind w:left="-20" w:right="220" w:firstLine="872"/>
        <w:spacing w:after="0" w:line="250" w:lineRule="auto"/>
        <w:tabs>
          <w:tab w:leader="none" w:pos="1743"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Exercise Price of Stock Appreciation Rights</w:t>
      </w:r>
      <w:r>
        <w:rPr>
          <w:rFonts w:ascii="Arial" w:cs="Arial" w:eastAsia="Arial" w:hAnsi="Arial"/>
          <w:sz w:val="22"/>
          <w:szCs w:val="22"/>
          <w:color w:val="auto"/>
        </w:rPr>
        <w:t>. The exercise price of a Stock Appreciation Right shall not be less than 100 percent of the Fair Market Value of the Stock on the date of grant.</w:t>
      </w:r>
    </w:p>
    <w:p>
      <w:pPr>
        <w:spacing w:after="0" w:line="174" w:lineRule="exact"/>
        <w:rPr>
          <w:rFonts w:ascii="Arial" w:cs="Arial" w:eastAsia="Arial" w:hAnsi="Arial"/>
          <w:sz w:val="22"/>
          <w:szCs w:val="22"/>
          <w:color w:val="auto"/>
        </w:rPr>
      </w:pPr>
    </w:p>
    <w:p>
      <w:pPr>
        <w:ind w:left="-20" w:right="820" w:firstLine="872"/>
        <w:spacing w:after="0" w:line="250" w:lineRule="auto"/>
        <w:tabs>
          <w:tab w:leader="none" w:pos="1731"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Grant and Exercise of Stock Appreciation Rights</w:t>
      </w:r>
      <w:r>
        <w:rPr>
          <w:rFonts w:ascii="Arial" w:cs="Arial" w:eastAsia="Arial" w:hAnsi="Arial"/>
          <w:sz w:val="22"/>
          <w:szCs w:val="22"/>
          <w:color w:val="auto"/>
        </w:rPr>
        <w:t>. Stock Appreciation Rights may be granted by the Administrator independently of any Stock Option granted pursuant to Section 5 of the Plan.</w:t>
      </w:r>
    </w:p>
    <w:p>
      <w:pPr>
        <w:spacing w:after="0" w:line="174" w:lineRule="exact"/>
        <w:rPr>
          <w:rFonts w:ascii="Arial" w:cs="Arial" w:eastAsia="Arial" w:hAnsi="Arial"/>
          <w:sz w:val="22"/>
          <w:szCs w:val="22"/>
          <w:color w:val="auto"/>
        </w:rPr>
      </w:pPr>
    </w:p>
    <w:p>
      <w:pPr>
        <w:ind w:left="-20" w:right="280" w:firstLine="872"/>
        <w:spacing w:after="0" w:line="252" w:lineRule="auto"/>
        <w:tabs>
          <w:tab w:leader="none" w:pos="1743"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Terms and Conditions of Stock Appreciation Rights</w:t>
      </w:r>
      <w:r>
        <w:rPr>
          <w:rFonts w:ascii="Arial" w:cs="Arial" w:eastAsia="Arial" w:hAnsi="Arial"/>
          <w:sz w:val="21"/>
          <w:szCs w:val="21"/>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RESTRICTED STOCK AWARDS</w:t>
      </w:r>
    </w:p>
    <w:p>
      <w:pPr>
        <w:spacing w:after="0" w:line="206" w:lineRule="exact"/>
        <w:rPr>
          <w:sz w:val="20"/>
          <w:szCs w:val="20"/>
          <w:color w:val="auto"/>
        </w:rPr>
      </w:pPr>
    </w:p>
    <w:p>
      <w:pPr>
        <w:ind w:left="-20" w:firstLine="872"/>
        <w:spacing w:after="0" w:line="282" w:lineRule="auto"/>
        <w:tabs>
          <w:tab w:leader="none" w:pos="1731"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Nature of Restricted Stock Awards</w:t>
      </w:r>
      <w:r>
        <w:rPr>
          <w:rFonts w:ascii="Arial" w:cs="Arial" w:eastAsia="Arial" w:hAnsi="Arial"/>
          <w:sz w:val="19"/>
          <w:szCs w:val="19"/>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w:t>
      </w:r>
    </w:p>
    <w:p>
      <w:pPr>
        <w:spacing w:after="0" w:line="147" w:lineRule="exact"/>
        <w:rPr>
          <w:rFonts w:ascii="Arial" w:cs="Arial" w:eastAsia="Arial" w:hAnsi="Arial"/>
          <w:sz w:val="19"/>
          <w:szCs w:val="19"/>
          <w:color w:val="auto"/>
        </w:rPr>
      </w:pPr>
    </w:p>
    <w:p>
      <w:pPr>
        <w:ind w:left="-20" w:right="20" w:firstLine="872"/>
        <w:spacing w:after="0" w:line="273" w:lineRule="auto"/>
        <w:tabs>
          <w:tab w:leader="none" w:pos="1743"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sectPr>
      </w:pPr>
    </w:p>
    <w:bookmarkStart w:id="178" w:name="page179"/>
    <w:bookmarkEnd w:id="178"/>
    <w:p>
      <w:pPr>
        <w:ind w:left="-40" w:firstLine="872"/>
        <w:spacing w:after="0" w:line="273" w:lineRule="auto"/>
        <w:tabs>
          <w:tab w:leader="none" w:pos="1711"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14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60" w:lineRule="exact"/>
        <w:rPr>
          <w:rFonts w:ascii="Arial" w:cs="Arial" w:eastAsia="Arial" w:hAnsi="Arial"/>
          <w:sz w:val="19"/>
          <w:szCs w:val="19"/>
          <w:color w:val="auto"/>
        </w:rPr>
      </w:pPr>
    </w:p>
    <w:p>
      <w:pPr>
        <w:ind w:left="-40" w:firstLine="872"/>
        <w:spacing w:after="0" w:line="249" w:lineRule="auto"/>
        <w:tabs>
          <w:tab w:leader="none" w:pos="1723"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Vesting of Restricted Shares</w:t>
      </w:r>
      <w:r>
        <w:rPr>
          <w:rFonts w:ascii="Arial" w:cs="Arial" w:eastAsia="Arial" w:hAnsi="Arial"/>
          <w:sz w:val="21"/>
          <w:szCs w:val="21"/>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RESTRICTED STOCK UNITS</w:t>
      </w:r>
    </w:p>
    <w:p>
      <w:pPr>
        <w:spacing w:after="0" w:line="206" w:lineRule="exact"/>
        <w:rPr>
          <w:sz w:val="20"/>
          <w:szCs w:val="20"/>
          <w:color w:val="auto"/>
        </w:rPr>
      </w:pPr>
    </w:p>
    <w:p>
      <w:pPr>
        <w:ind w:left="-40" w:right="20" w:firstLine="872"/>
        <w:spacing w:after="0" w:line="245" w:lineRule="auto"/>
        <w:tabs>
          <w:tab w:leader="none" w:pos="1711"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Nature of Restricted Stock Units</w:t>
      </w:r>
      <w:r>
        <w:rPr>
          <w:rFonts w:ascii="Arial" w:cs="Arial" w:eastAsia="Arial" w:hAnsi="Arial"/>
          <w:sz w:val="21"/>
          <w:szCs w:val="21"/>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80" w:lineRule="exact"/>
        <w:rPr>
          <w:rFonts w:ascii="Arial" w:cs="Arial" w:eastAsia="Arial" w:hAnsi="Arial"/>
          <w:sz w:val="21"/>
          <w:szCs w:val="21"/>
          <w:color w:val="auto"/>
        </w:rPr>
      </w:pPr>
    </w:p>
    <w:p>
      <w:pPr>
        <w:ind w:left="-40" w:right="20" w:firstLine="872"/>
        <w:spacing w:after="0" w:line="277" w:lineRule="auto"/>
        <w:tabs>
          <w:tab w:leader="none" w:pos="1723"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Election to Receive Restricted Stock Units in Lieu of Compensation</w:t>
      </w:r>
      <w:r>
        <w:rPr>
          <w:rFonts w:ascii="Arial" w:cs="Arial" w:eastAsia="Arial" w:hAnsi="Arial"/>
          <w:sz w:val="19"/>
          <w:szCs w:val="19"/>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75565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60" w:top="334" w:right="379" w:bottom="1440" w:gutter="0" w:footer="0" w:header="0"/>
        </w:sectPr>
      </w:pPr>
    </w:p>
    <w:bookmarkStart w:id="179" w:name="page180"/>
    <w:bookmarkEnd w:id="179"/>
    <w:p>
      <w:pPr>
        <w:ind w:right="40"/>
        <w:spacing w:after="0" w:line="297" w:lineRule="auto"/>
        <w:rPr>
          <w:sz w:val="20"/>
          <w:szCs w:val="20"/>
          <w:color w:val="auto"/>
        </w:rPr>
      </w:pPr>
      <w:r>
        <w:rPr>
          <w:rFonts w:ascii="Arial" w:cs="Arial" w:eastAsia="Arial" w:hAnsi="Arial"/>
          <w:sz w:val="19"/>
          <w:szCs w:val="19"/>
          <w:color w:val="auto"/>
        </w:rPr>
        <w:t>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34" w:lineRule="exact"/>
        <w:rPr>
          <w:sz w:val="20"/>
          <w:szCs w:val="20"/>
          <w:color w:val="auto"/>
        </w:rPr>
      </w:pPr>
    </w:p>
    <w:p>
      <w:pPr>
        <w:ind w:right="140" w:firstLine="872"/>
        <w:spacing w:after="0" w:line="252" w:lineRule="auto"/>
        <w:tabs>
          <w:tab w:leader="none" w:pos="1751"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Rights as a Stockholder</w:t>
      </w:r>
      <w:r>
        <w:rPr>
          <w:rFonts w:ascii="Arial" w:cs="Arial" w:eastAsia="Arial" w:hAnsi="Arial"/>
          <w:sz w:val="21"/>
          <w:szCs w:val="21"/>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the grantee’s Restricted Stock Units, subject to the provisions of Section 10 and such terms and conditions as the Administrator may determine.</w:t>
      </w:r>
    </w:p>
    <w:p>
      <w:pPr>
        <w:spacing w:after="0" w:line="173" w:lineRule="exact"/>
        <w:rPr>
          <w:rFonts w:ascii="Arial" w:cs="Arial" w:eastAsia="Arial" w:hAnsi="Arial"/>
          <w:sz w:val="21"/>
          <w:szCs w:val="21"/>
          <w:color w:val="auto"/>
        </w:rPr>
      </w:pPr>
    </w:p>
    <w:p>
      <w:pPr>
        <w:ind w:firstLine="872"/>
        <w:spacing w:after="0" w:line="238" w:lineRule="auto"/>
        <w:tabs>
          <w:tab w:leader="none" w:pos="1763"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14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UNRESTRICTED STOCK AWARDS</w:t>
      </w:r>
    </w:p>
    <w:p>
      <w:pPr>
        <w:spacing w:after="0" w:line="206" w:lineRule="exact"/>
        <w:rPr>
          <w:sz w:val="20"/>
          <w:szCs w:val="20"/>
          <w:color w:val="auto"/>
        </w:rPr>
      </w:pPr>
    </w:p>
    <w:p>
      <w:pPr>
        <w:ind w:right="320" w:firstLine="864"/>
        <w:spacing w:after="0" w:line="287" w:lineRule="auto"/>
        <w:rPr>
          <w:sz w:val="20"/>
          <w:szCs w:val="20"/>
          <w:color w:val="auto"/>
        </w:rPr>
      </w:pPr>
      <w:r>
        <w:rPr>
          <w:rFonts w:ascii="Arial" w:cs="Arial" w:eastAsia="Arial" w:hAnsi="Arial"/>
          <w:sz w:val="19"/>
          <w:szCs w:val="19"/>
          <w:u w:val="single" w:color="auto"/>
          <w:color w:val="auto"/>
        </w:rPr>
        <w:t>Grant or Sale of Unrestricted Stock</w:t>
      </w:r>
      <w:r>
        <w:rPr>
          <w:rFonts w:ascii="Arial" w:cs="Arial" w:eastAsia="Arial" w:hAnsi="Arial"/>
          <w:sz w:val="19"/>
          <w:szCs w:val="19"/>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DIVIDEND EQUIVALENT RIGHTS</w:t>
      </w:r>
    </w:p>
    <w:p>
      <w:pPr>
        <w:spacing w:after="0" w:line="206" w:lineRule="exact"/>
        <w:rPr>
          <w:sz w:val="20"/>
          <w:szCs w:val="20"/>
          <w:color w:val="auto"/>
        </w:rPr>
      </w:pPr>
    </w:p>
    <w:p>
      <w:pPr>
        <w:ind w:right="40" w:firstLine="872"/>
        <w:spacing w:after="0" w:line="272" w:lineRule="auto"/>
        <w:tabs>
          <w:tab w:leader="none" w:pos="1751"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under the Plan.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0" w:name="page181"/>
    <w:bookmarkEnd w:id="180"/>
    <w:p>
      <w:pPr>
        <w:ind w:right="180" w:firstLine="872"/>
        <w:spacing w:after="0" w:line="238" w:lineRule="auto"/>
        <w:tabs>
          <w:tab w:leader="none" w:pos="1763"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14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TRANSFERABILITY OF AWARDS</w:t>
      </w:r>
    </w:p>
    <w:p>
      <w:pPr>
        <w:spacing w:after="0" w:line="206" w:lineRule="exact"/>
        <w:rPr>
          <w:sz w:val="20"/>
          <w:szCs w:val="20"/>
          <w:color w:val="auto"/>
        </w:rPr>
      </w:pPr>
    </w:p>
    <w:p>
      <w:pPr>
        <w:ind w:right="120" w:firstLine="872"/>
        <w:spacing w:after="0" w:line="282" w:lineRule="auto"/>
        <w:tabs>
          <w:tab w:leader="none" w:pos="1751"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Except as provided in Section 11(b)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47" w:lineRule="exact"/>
        <w:rPr>
          <w:rFonts w:ascii="Arial" w:cs="Arial" w:eastAsia="Arial" w:hAnsi="Arial"/>
          <w:sz w:val="19"/>
          <w:szCs w:val="19"/>
          <w:color w:val="auto"/>
        </w:rPr>
      </w:pPr>
    </w:p>
    <w:p>
      <w:pPr>
        <w:ind w:firstLine="872"/>
        <w:spacing w:after="0" w:line="235" w:lineRule="auto"/>
        <w:tabs>
          <w:tab w:leader="none" w:pos="1763"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Administrator Action</w:t>
      </w:r>
      <w:r>
        <w:rPr>
          <w:rFonts w:ascii="Arial" w:cs="Arial" w:eastAsia="Arial" w:hAnsi="Arial"/>
          <w:sz w:val="22"/>
          <w:szCs w:val="22"/>
          <w:color w:val="auto"/>
        </w:rPr>
        <w:t>. Notwithstanding Section 11(a), the Administrator, in its discretion, may provide either in the Award Certificate regarding a given Award or by subsequent written approval that the grantee (who is an employee) may transfer his or her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87" w:lineRule="exact"/>
        <w:rPr>
          <w:rFonts w:ascii="Arial" w:cs="Arial" w:eastAsia="Arial" w:hAnsi="Arial"/>
          <w:sz w:val="22"/>
          <w:szCs w:val="22"/>
          <w:color w:val="auto"/>
        </w:rPr>
      </w:pPr>
    </w:p>
    <w:p>
      <w:pPr>
        <w:ind w:right="20" w:firstLine="872"/>
        <w:spacing w:after="0" w:line="279" w:lineRule="auto"/>
        <w:tabs>
          <w:tab w:leader="none" w:pos="1751"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Family Member</w:t>
      </w:r>
      <w:r>
        <w:rPr>
          <w:rFonts w:ascii="Arial" w:cs="Arial" w:eastAsia="Arial" w:hAnsi="Arial"/>
          <w:sz w:val="19"/>
          <w:szCs w:val="19"/>
          <w:color w:val="auto"/>
        </w:rPr>
        <w:t>. For purposes of Section 11(b),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50" w:lineRule="exact"/>
        <w:rPr>
          <w:rFonts w:ascii="Arial" w:cs="Arial" w:eastAsia="Arial" w:hAnsi="Arial"/>
          <w:sz w:val="19"/>
          <w:szCs w:val="19"/>
          <w:color w:val="auto"/>
        </w:rPr>
      </w:pPr>
    </w:p>
    <w:p>
      <w:pPr>
        <w:ind w:right="80" w:firstLine="872"/>
        <w:spacing w:after="0" w:line="282" w:lineRule="auto"/>
        <w:tabs>
          <w:tab w:leader="none" w:pos="1763"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Designation of Beneficiary</w:t>
      </w:r>
      <w:r>
        <w:rPr>
          <w:rFonts w:ascii="Arial" w:cs="Arial" w:eastAsia="Arial" w:hAnsi="Arial"/>
          <w:sz w:val="19"/>
          <w:szCs w:val="19"/>
          <w:color w:val="auto"/>
        </w:rPr>
        <w:t>. To the extent permitted by the Administrator,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TAX WITHHOLDING</w:t>
      </w:r>
    </w:p>
    <w:p>
      <w:pPr>
        <w:spacing w:after="0" w:line="206" w:lineRule="exact"/>
        <w:rPr>
          <w:sz w:val="20"/>
          <w:szCs w:val="20"/>
          <w:color w:val="auto"/>
        </w:rPr>
      </w:pPr>
    </w:p>
    <w:p>
      <w:pPr>
        <w:ind w:right="220" w:firstLine="872"/>
        <w:spacing w:after="0"/>
        <w:tabs>
          <w:tab w:leader="none" w:pos="1751"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Payment by Grantee</w:t>
      </w:r>
      <w:r>
        <w:rPr>
          <w:rFonts w:ascii="Arial" w:cs="Arial" w:eastAsia="Arial" w:hAnsi="Arial"/>
          <w:sz w:val="22"/>
          <w:szCs w:val="22"/>
          <w:color w:val="auto"/>
        </w:rPr>
        <w:t>. Each grantee shall, no later than the date as of which the value of an Award or of any Stock or other amounts received thereunder first becomes includable in the gross income of the grantee for Federal income tax purposes, pay to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1" w:name="page182"/>
    <w:bookmarkEnd w:id="181"/>
    <w:p>
      <w:pPr>
        <w:jc w:val="both"/>
        <w:ind w:right="20"/>
        <w:spacing w:after="0" w:line="249" w:lineRule="auto"/>
        <w:rPr>
          <w:sz w:val="20"/>
          <w:szCs w:val="20"/>
          <w:color w:val="auto"/>
        </w:rPr>
      </w:pPr>
      <w:r>
        <w:rPr>
          <w:rFonts w:ascii="Arial" w:cs="Arial" w:eastAsia="Arial" w:hAnsi="Arial"/>
          <w:sz w:val="21"/>
          <w:szCs w:val="21"/>
          <w:color w:val="auto"/>
        </w:rPr>
        <w:t>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78" w:lineRule="exact"/>
        <w:rPr>
          <w:sz w:val="20"/>
          <w:szCs w:val="20"/>
          <w:color w:val="auto"/>
        </w:rPr>
      </w:pPr>
    </w:p>
    <w:p>
      <w:pPr>
        <w:ind w:firstLine="872"/>
        <w:spacing w:after="0" w:line="273" w:lineRule="auto"/>
        <w:tabs>
          <w:tab w:leader="none" w:pos="1763"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Payment in Stock</w:t>
      </w:r>
      <w:r>
        <w:rPr>
          <w:rFonts w:ascii="Arial" w:cs="Arial" w:eastAsia="Arial" w:hAnsi="Arial"/>
          <w:sz w:val="19"/>
          <w:szCs w:val="19"/>
          <w:color w:val="auto"/>
        </w:rPr>
        <w:t>. Subject to approval by the Administrator, a grantee may elect to have the Company’s required tax withholding obligation satisfied, in whole or in part, by authorizing the Company to withhold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The Administrator may also require Awards to be subject to mandatory share withholding up to the required withholding amount. For purposes of share withholding, the Fair Market Value of withheld shares shall be determined in the same manner as the value of Stock includible in income of the participants. The required tax withholding obligation may also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SECTION 409A AWARDS</w:t>
      </w:r>
    </w:p>
    <w:p>
      <w:pPr>
        <w:spacing w:after="0" w:line="206" w:lineRule="exact"/>
        <w:rPr>
          <w:sz w:val="20"/>
          <w:szCs w:val="20"/>
          <w:color w:val="auto"/>
        </w:rPr>
      </w:pPr>
    </w:p>
    <w:p>
      <w:pPr>
        <w:ind w:right="120" w:firstLine="864"/>
        <w:spacing w:after="0" w:line="275" w:lineRule="auto"/>
        <w:rPr>
          <w:sz w:val="20"/>
          <w:szCs w:val="20"/>
          <w:color w:val="auto"/>
        </w:rPr>
      </w:pPr>
      <w:r>
        <w:rPr>
          <w:rFonts w:ascii="Arial" w:cs="Arial" w:eastAsia="Arial" w:hAnsi="Arial"/>
          <w:sz w:val="19"/>
          <w:szCs w:val="19"/>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TERMINATION OF EMPLOYMENT, TRANSFER, LEAVE OF ABSENCE, ETC.</w:t>
      </w:r>
    </w:p>
    <w:p>
      <w:pPr>
        <w:spacing w:after="0" w:line="206" w:lineRule="exact"/>
        <w:rPr>
          <w:sz w:val="20"/>
          <w:szCs w:val="20"/>
          <w:color w:val="auto"/>
        </w:rPr>
      </w:pPr>
    </w:p>
    <w:p>
      <w:pPr>
        <w:ind w:right="160" w:firstLine="872"/>
        <w:spacing w:after="0"/>
        <w:tabs>
          <w:tab w:leader="none" w:pos="1751"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If the grantee’s Service Relationship is with a Subsidiary and such Subsidiary ceases to be a Subsidiary, the grantee shall be deemed to have terminated his or her Service Relationship for purposes of the Plan.</w:t>
      </w:r>
    </w:p>
    <w:p>
      <w:pPr>
        <w:spacing w:after="0" w:line="186" w:lineRule="exact"/>
        <w:rPr>
          <w:rFonts w:ascii="Arial" w:cs="Arial" w:eastAsia="Arial" w:hAnsi="Arial"/>
          <w:sz w:val="22"/>
          <w:szCs w:val="22"/>
          <w:color w:val="auto"/>
        </w:rPr>
      </w:pPr>
    </w:p>
    <w:p>
      <w:pPr>
        <w:ind w:left="1780" w:hanging="908"/>
        <w:spacing w:after="0"/>
        <w:tabs>
          <w:tab w:leader="none" w:pos="17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For purposes of the Plan, the following events shall not be deemed a termination of employment: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2" w:name="page183"/>
    <w:bookmarkEnd w:id="182"/>
    <w:p>
      <w:pPr>
        <w:ind w:right="820" w:firstLine="1735"/>
        <w:spacing w:after="0" w:line="250" w:lineRule="auto"/>
        <w:tabs>
          <w:tab w:leader="none" w:pos="2579"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 transfer to the employment of the Company from a Subsidiary or from the Company to a Subsidiary, or from one Subsidiary to another; or</w:t>
      </w:r>
    </w:p>
    <w:p>
      <w:pPr>
        <w:spacing w:after="0" w:line="174" w:lineRule="exact"/>
        <w:rPr>
          <w:rFonts w:ascii="Arial" w:cs="Arial" w:eastAsia="Arial" w:hAnsi="Arial"/>
          <w:sz w:val="22"/>
          <w:szCs w:val="22"/>
          <w:color w:val="auto"/>
        </w:rPr>
      </w:pPr>
    </w:p>
    <w:p>
      <w:pPr>
        <w:ind w:firstLine="1735"/>
        <w:spacing w:after="0" w:line="297" w:lineRule="auto"/>
        <w:tabs>
          <w:tab w:leader="none" w:pos="2639"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AMENDMENTS AND TERMINATION</w:t>
      </w:r>
    </w:p>
    <w:p>
      <w:pPr>
        <w:spacing w:after="0" w:line="206" w:lineRule="exact"/>
        <w:rPr>
          <w:sz w:val="20"/>
          <w:szCs w:val="20"/>
          <w:color w:val="auto"/>
        </w:rPr>
      </w:pPr>
    </w:p>
    <w:p>
      <w:pPr>
        <w:ind w:right="180" w:firstLine="864"/>
        <w:spacing w:after="0" w:line="277" w:lineRule="auto"/>
        <w:rPr>
          <w:sz w:val="20"/>
          <w:szCs w:val="20"/>
          <w:color w:val="auto"/>
        </w:rPr>
      </w:pPr>
      <w:r>
        <w:rPr>
          <w:rFonts w:ascii="Arial" w:cs="Arial" w:eastAsia="Arial" w:hAnsi="Arial"/>
          <w:sz w:val="19"/>
          <w:szCs w:val="19"/>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Nothing in this Section 15 shall limit the Administrator’s authority to take any action permitted pursuant to Section 3(b) or 3(c).</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STATUS OF PLAN</w:t>
      </w:r>
    </w:p>
    <w:p>
      <w:pPr>
        <w:spacing w:after="0" w:line="206" w:lineRule="exact"/>
        <w:rPr>
          <w:sz w:val="20"/>
          <w:szCs w:val="20"/>
          <w:color w:val="auto"/>
        </w:rPr>
      </w:pPr>
    </w:p>
    <w:p>
      <w:pPr>
        <w:ind w:firstLine="864"/>
        <w:spacing w:after="0" w:line="248" w:lineRule="auto"/>
        <w:rPr>
          <w:sz w:val="20"/>
          <w:szCs w:val="20"/>
          <w:color w:val="auto"/>
        </w:rPr>
      </w:pPr>
      <w:r>
        <w:rPr>
          <w:rFonts w:ascii="Arial" w:cs="Arial" w:eastAsia="Arial" w:hAnsi="Arial"/>
          <w:sz w:val="21"/>
          <w:szCs w:val="21"/>
          <w:color w:val="auto"/>
        </w:rPr>
        <w:t>With respect to the portion of any Award that has not been settled or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GENERAL PROVISIONS</w:t>
      </w:r>
    </w:p>
    <w:p>
      <w:pPr>
        <w:spacing w:after="0" w:line="206" w:lineRule="exact"/>
        <w:rPr>
          <w:sz w:val="20"/>
          <w:szCs w:val="20"/>
          <w:color w:val="auto"/>
        </w:rPr>
      </w:pPr>
    </w:p>
    <w:p>
      <w:pPr>
        <w:ind w:right="20" w:firstLine="872"/>
        <w:spacing w:after="0" w:line="328" w:lineRule="auto"/>
        <w:tabs>
          <w:tab w:leader="none" w:pos="1751"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No Distribution</w:t>
      </w:r>
      <w:r>
        <w:rPr>
          <w:rFonts w:ascii="Arial" w:cs="Arial" w:eastAsia="Arial" w:hAnsi="Arial"/>
          <w:sz w:val="19"/>
          <w:szCs w:val="19"/>
          <w:color w:val="auto"/>
        </w:rPr>
        <w:t>. The Administrator may require each person acquiring Stock pursuant to an Award to represent to and agree with the Company in writing that such person is acquiring the shares without a view to distribution thereof.</w:t>
      </w:r>
    </w:p>
    <w:p>
      <w:pPr>
        <w:spacing w:after="0" w:line="104" w:lineRule="exact"/>
        <w:rPr>
          <w:rFonts w:ascii="Arial" w:cs="Arial" w:eastAsia="Arial" w:hAnsi="Arial"/>
          <w:sz w:val="19"/>
          <w:szCs w:val="19"/>
          <w:color w:val="auto"/>
        </w:rPr>
      </w:pPr>
    </w:p>
    <w:p>
      <w:pPr>
        <w:ind w:right="120" w:firstLine="872"/>
        <w:spacing w:after="0" w:line="245" w:lineRule="auto"/>
        <w:tabs>
          <w:tab w:leader="none" w:pos="1763"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Issuance of Stock</w:t>
      </w:r>
      <w:r>
        <w:rPr>
          <w:rFonts w:ascii="Arial" w:cs="Arial" w:eastAsia="Arial" w:hAnsi="Arial"/>
          <w:sz w:val="21"/>
          <w:szCs w:val="21"/>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3" w:name="page184"/>
    <w:bookmarkEnd w:id="183"/>
    <w:p>
      <w:pPr>
        <w:spacing w:after="0" w:line="273" w:lineRule="auto"/>
        <w:rPr>
          <w:sz w:val="20"/>
          <w:szCs w:val="20"/>
          <w:color w:val="auto"/>
        </w:rPr>
      </w:pPr>
      <w:r>
        <w:rPr>
          <w:rFonts w:ascii="Arial" w:cs="Arial" w:eastAsia="Arial" w:hAnsi="Arial"/>
          <w:sz w:val="19"/>
          <w:szCs w:val="19"/>
          <w:color w:val="auto"/>
        </w:rPr>
        <w:t>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55" w:lineRule="exact"/>
        <w:rPr>
          <w:sz w:val="20"/>
          <w:szCs w:val="20"/>
          <w:color w:val="auto"/>
        </w:rPr>
      </w:pPr>
    </w:p>
    <w:p>
      <w:pPr>
        <w:ind w:right="60" w:firstLine="872"/>
        <w:spacing w:after="0" w:line="297" w:lineRule="auto"/>
        <w:tabs>
          <w:tab w:leader="none" w:pos="1751"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33" w:lineRule="exact"/>
        <w:rPr>
          <w:rFonts w:ascii="Arial" w:cs="Arial" w:eastAsia="Arial" w:hAnsi="Arial"/>
          <w:sz w:val="19"/>
          <w:szCs w:val="19"/>
          <w:color w:val="auto"/>
        </w:rPr>
      </w:pPr>
    </w:p>
    <w:p>
      <w:pPr>
        <w:jc w:val="both"/>
        <w:ind w:right="200" w:firstLine="872"/>
        <w:spacing w:after="0" w:line="287" w:lineRule="auto"/>
        <w:tabs>
          <w:tab w:leader="none" w:pos="1763"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Other Compensation Arrangements; No Employment Rights</w:t>
      </w:r>
      <w:r>
        <w:rPr>
          <w:rFonts w:ascii="Arial" w:cs="Arial" w:eastAsia="Arial" w:hAnsi="Arial"/>
          <w:sz w:val="19"/>
          <w:szCs w:val="19"/>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42" w:lineRule="exact"/>
        <w:rPr>
          <w:rFonts w:ascii="Arial" w:cs="Arial" w:eastAsia="Arial" w:hAnsi="Arial"/>
          <w:sz w:val="19"/>
          <w:szCs w:val="19"/>
          <w:color w:val="auto"/>
        </w:rPr>
      </w:pPr>
    </w:p>
    <w:p>
      <w:pPr>
        <w:ind w:right="680" w:firstLine="872"/>
        <w:spacing w:after="0" w:line="250" w:lineRule="auto"/>
        <w:tabs>
          <w:tab w:leader="none" w:pos="1751"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Trading Policy Restrictions</w:t>
      </w:r>
      <w:r>
        <w:rPr>
          <w:rFonts w:ascii="Arial" w:cs="Arial" w:eastAsia="Arial" w:hAnsi="Arial"/>
          <w:sz w:val="22"/>
          <w:szCs w:val="22"/>
          <w:color w:val="auto"/>
        </w:rPr>
        <w:t>. Option exercises and other Awards under the Plan shall be subject to the Company’s insider trading policies and procedures, as in effect from time to time.</w:t>
      </w:r>
    </w:p>
    <w:p>
      <w:pPr>
        <w:spacing w:after="0" w:line="174" w:lineRule="exact"/>
        <w:rPr>
          <w:rFonts w:ascii="Arial" w:cs="Arial" w:eastAsia="Arial" w:hAnsi="Arial"/>
          <w:sz w:val="22"/>
          <w:szCs w:val="22"/>
          <w:color w:val="auto"/>
        </w:rPr>
      </w:pPr>
    </w:p>
    <w:p>
      <w:pPr>
        <w:ind w:left="1740" w:hanging="868"/>
        <w:spacing w:after="0"/>
        <w:tabs>
          <w:tab w:leader="none" w:pos="1740"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Awards under the Plan shall be subject to the Company’s clawback policy, as in effect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from time to time.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EFFECTIVE DATE OF PLAN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This Plan shall become effective immediately upon approval by the Board.</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GOVERNING LAW</w:t>
      </w:r>
    </w:p>
    <w:p>
      <w:pPr>
        <w:spacing w:after="0" w:line="206" w:lineRule="exact"/>
        <w:rPr>
          <w:sz w:val="20"/>
          <w:szCs w:val="20"/>
          <w:color w:val="auto"/>
        </w:rPr>
      </w:pPr>
    </w:p>
    <w:p>
      <w:pPr>
        <w:ind w:right="320" w:firstLine="864"/>
        <w:spacing w:after="0" w:line="238" w:lineRule="auto"/>
        <w:rPr>
          <w:sz w:val="20"/>
          <w:szCs w:val="20"/>
          <w:color w:val="auto"/>
        </w:rPr>
      </w:pPr>
      <w:r>
        <w:rPr>
          <w:rFonts w:ascii="Arial" w:cs="Arial" w:eastAsia="Arial" w:hAnsi="Arial"/>
          <w:sz w:val="22"/>
          <w:szCs w:val="22"/>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DATE APPROVED BY BOARD OF DIRECTORS: December 9, 2020.</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84" w:name="page185"/>
    <w:bookmarkEnd w:id="184"/>
    <w:p>
      <w:pPr>
        <w:jc w:val="center"/>
        <w:ind w:right="20"/>
        <w:spacing w:after="0"/>
        <w:rPr>
          <w:sz w:val="20"/>
          <w:szCs w:val="20"/>
          <w:color w:val="auto"/>
        </w:rPr>
      </w:pPr>
      <w:r>
        <w:rPr>
          <w:rFonts w:ascii="Arial" w:cs="Arial" w:eastAsia="Arial" w:hAnsi="Arial"/>
          <w:sz w:val="22"/>
          <w:szCs w:val="22"/>
          <w:b w:val="1"/>
          <w:bCs w:val="1"/>
          <w:color w:val="auto"/>
        </w:rPr>
        <w:t>NON-QUALIFIED STOCK OPTION AGREEMENT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 COMPANY EMPLOYEES</w:t>
      </w:r>
    </w:p>
    <w:p>
      <w:pPr>
        <w:jc w:val="center"/>
        <w:ind w:right="20"/>
        <w:spacing w:after="0" w:line="230" w:lineRule="auto"/>
        <w:rPr>
          <w:sz w:val="20"/>
          <w:szCs w:val="20"/>
          <w:color w:val="auto"/>
        </w:rPr>
      </w:pPr>
      <w:r>
        <w:rPr>
          <w:rFonts w:ascii="Arial" w:cs="Arial" w:eastAsia="Arial" w:hAnsi="Arial"/>
          <w:sz w:val="22"/>
          <w:szCs w:val="22"/>
          <w:b w:val="1"/>
          <w:bCs w:val="1"/>
          <w:color w:val="auto"/>
        </w:rPr>
        <w:t>UNDER THE AVROBIO, INC.</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2020 Inducement PLAN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6985</wp:posOffset>
            </wp:positionV>
            <wp:extent cx="46291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 of Option Shares:</w:t>
      </w:r>
    </w:p>
    <w:p>
      <w:pPr>
        <w:spacing w:after="0" w:line="206" w:lineRule="exact"/>
        <w:rPr>
          <w:sz w:val="20"/>
          <w:szCs w:val="20"/>
          <w:color w:val="auto"/>
        </w:rPr>
      </w:pPr>
    </w:p>
    <w:p>
      <w:pPr>
        <w:spacing w:after="0"/>
        <w:tabs>
          <w:tab w:leader="none" w:pos="3940" w:val="left"/>
        </w:tabs>
        <w:rPr>
          <w:sz w:val="20"/>
          <w:szCs w:val="20"/>
          <w:color w:val="auto"/>
        </w:rPr>
      </w:pPr>
      <w:r>
        <w:rPr>
          <w:rFonts w:ascii="Arial" w:cs="Arial" w:eastAsia="Arial" w:hAnsi="Arial"/>
          <w:sz w:val="22"/>
          <w:szCs w:val="22"/>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6985</wp:posOffset>
            </wp:positionV>
            <wp:extent cx="20745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6985</wp:posOffset>
            </wp:positionV>
            <wp:extent cx="46291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6985</wp:posOffset>
            </wp:positionV>
            <wp:extent cx="21685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0"/>
          <w:szCs w:val="20"/>
          <w:color w:val="auto"/>
        </w:rPr>
      </w:pPr>
    </w:p>
    <w:p>
      <w:pPr>
        <w:ind w:right="20" w:firstLine="864"/>
        <w:spacing w:after="0" w:line="245" w:lineRule="auto"/>
        <w:rPr>
          <w:sz w:val="20"/>
          <w:szCs w:val="20"/>
          <w:color w:val="auto"/>
        </w:rPr>
      </w:pPr>
      <w:r>
        <w:rPr>
          <w:rFonts w:ascii="Arial" w:cs="Arial" w:eastAsia="Arial" w:hAnsi="Arial"/>
          <w:sz w:val="21"/>
          <w:szCs w:val="21"/>
          <w:color w:val="auto"/>
        </w:rPr>
        <w:t>Pursuant to the AVROBIO, Inc. 2020 Inducement Plan as amended through the date hereof (the “Plan”), AVROBIO, Inc. (the “Company”) hereby grants to the Optionee named above an option (the “Stock Option”) to purchase on or prior to the Expiration Date specified above all or part of the number of shares of Common Stock, par value $0.0001 per share (the “Stock”) of the Company specified above at the Option Exercise Price per Share specified above subject to the terms and conditions set forth herein and in the Plan. For the avoidance of doubt, this Stock Option is not issued under the Company’s 2018 Stock Option and Incentive Plan, as amended from time to time, and does not reduce the share reserve under such equity plan. This Stock Option has been granted as an inducement pursuant to Rule 5635(c)(4) of the Marketplace Rules of the Nasdaq Stock Market, Inc. This Stock Option is not intended to be an “incentive stock option” under Section 422 of the Internal Revenue Code of 1986, as amended.</w:t>
      </w:r>
    </w:p>
    <w:p>
      <w:pPr>
        <w:spacing w:after="0" w:line="184" w:lineRule="exact"/>
        <w:rPr>
          <w:sz w:val="20"/>
          <w:szCs w:val="20"/>
          <w:color w:val="auto"/>
        </w:rPr>
      </w:pPr>
    </w:p>
    <w:p>
      <w:pPr>
        <w:ind w:left="1720" w:right="20" w:hanging="1713"/>
        <w:spacing w:after="0" w:line="249" w:lineRule="auto"/>
        <w:tabs>
          <w:tab w:leader="none" w:pos="170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21"/>
          <w:szCs w:val="21"/>
          <w:u w:val="single" w:color="auto"/>
          <w:color w:val="auto"/>
        </w:rPr>
        <w:t>Exercisability Schedule</w:t>
      </w:r>
      <w:r>
        <w:rPr>
          <w:rFonts w:ascii="Arial" w:cs="Arial" w:eastAsia="Arial" w:hAnsi="Arial"/>
          <w:sz w:val="21"/>
          <w:szCs w:val="21"/>
          <w:color w:val="auto"/>
        </w:rPr>
        <w:t>. No portion of this Stock Option may be exercised until such portion shall have</w:t>
      </w:r>
      <w:r>
        <w:rPr>
          <w:rFonts w:ascii="Arial" w:cs="Arial" w:eastAsia="Arial" w:hAnsi="Arial"/>
          <w:sz w:val="21"/>
          <w:szCs w:val="21"/>
          <w:u w:val="single" w:color="auto"/>
          <w:color w:val="auto"/>
        </w:rPr>
        <w:t xml:space="preserve"> </w:t>
      </w:r>
      <w:r>
        <w:rPr>
          <w:rFonts w:ascii="Arial" w:cs="Arial" w:eastAsia="Arial" w:hAnsi="Arial"/>
          <w:sz w:val="21"/>
          <w:szCs w:val="21"/>
          <w:color w:val="auto"/>
        </w:rPr>
        <w:t>become exercisable. Except as set forth below, and subject to the discretion of the Administrator to accelerate the exercisability schedule hereunder, this Stock Option shall be exercisable with respect to the following number of Option Shares on the dates indicated so long as Optionee continues to have a Service Relationship with the Company or a Subsidiary on such dates: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40" w:type="dxa"/>
            <w:vAlign w:val="bottom"/>
          </w:tcPr>
          <w:p>
            <w:pPr>
              <w:spacing w:after="0"/>
              <w:rPr>
                <w:sz w:val="21"/>
                <w:szCs w:val="21"/>
                <w:color w:val="auto"/>
              </w:rPr>
            </w:pPr>
          </w:p>
        </w:tc>
        <w:tc>
          <w:tcPr>
            <w:tcW w:w="4320" w:type="dxa"/>
            <w:vAlign w:val="bottom"/>
            <w:gridSpan w:val="2"/>
          </w:tcPr>
          <w:p>
            <w:pPr>
              <w:jc w:val="center"/>
              <w:ind w:right="2020"/>
              <w:spacing w:after="0"/>
              <w:rPr>
                <w:sz w:val="20"/>
                <w:szCs w:val="20"/>
                <w:color w:val="auto"/>
              </w:rPr>
            </w:pPr>
            <w:r>
              <w:rPr>
                <w:rFonts w:ascii="Arial" w:cs="Arial" w:eastAsia="Arial" w:hAnsi="Arial"/>
                <w:sz w:val="22"/>
                <w:szCs w:val="22"/>
                <w:color w:val="auto"/>
                <w:w w:val="90"/>
              </w:rPr>
              <w:t>Incremental Number of</w:t>
            </w:r>
          </w:p>
        </w:tc>
        <w:tc>
          <w:tcPr>
            <w:tcW w:w="1660" w:type="dxa"/>
            <w:vAlign w:val="bottom"/>
          </w:tcPr>
          <w:p>
            <w:pPr>
              <w:spacing w:after="0"/>
              <w:rPr>
                <w:sz w:val="21"/>
                <w:szCs w:val="21"/>
                <w:color w:val="auto"/>
              </w:rPr>
            </w:pPr>
          </w:p>
        </w:tc>
        <w:tc>
          <w:tcPr>
            <w:tcW w:w="3440" w:type="dxa"/>
            <w:vAlign w:val="bottom"/>
          </w:tcPr>
          <w:p>
            <w:pPr>
              <w:spacing w:after="0"/>
              <w:rPr>
                <w:sz w:val="21"/>
                <w:szCs w:val="21"/>
                <w:color w:val="auto"/>
              </w:rPr>
            </w:pPr>
          </w:p>
        </w:tc>
      </w:tr>
      <w:tr>
        <w:trPr>
          <w:trHeight w:val="224"/>
        </w:trPr>
        <w:tc>
          <w:tcPr>
            <w:tcW w:w="1840" w:type="dxa"/>
            <w:vAlign w:val="bottom"/>
          </w:tcPr>
          <w:p>
            <w:pPr>
              <w:spacing w:after="0"/>
              <w:rPr>
                <w:sz w:val="19"/>
                <w:szCs w:val="19"/>
                <w:color w:val="auto"/>
              </w:rPr>
            </w:pPr>
          </w:p>
        </w:tc>
        <w:tc>
          <w:tcPr>
            <w:tcW w:w="2300" w:type="dxa"/>
            <w:vAlign w:val="bottom"/>
            <w:tcBorders>
              <w:bottom w:val="single" w:sz="8" w:color="auto"/>
            </w:tcBorders>
          </w:tcPr>
          <w:p>
            <w:pPr>
              <w:jc w:val="center"/>
              <w:spacing w:after="0" w:line="224" w:lineRule="exact"/>
              <w:rPr>
                <w:sz w:val="20"/>
                <w:szCs w:val="20"/>
                <w:color w:val="auto"/>
              </w:rPr>
            </w:pPr>
            <w:r>
              <w:rPr>
                <w:rFonts w:ascii="Arial" w:cs="Arial" w:eastAsia="Arial" w:hAnsi="Arial"/>
                <w:sz w:val="22"/>
                <w:szCs w:val="22"/>
                <w:color w:val="auto"/>
                <w:w w:val="88"/>
              </w:rPr>
              <w:t>Option Shares Exercisable</w:t>
            </w:r>
          </w:p>
        </w:tc>
        <w:tc>
          <w:tcPr>
            <w:tcW w:w="2020" w:type="dxa"/>
            <w:vAlign w:val="bottom"/>
          </w:tcPr>
          <w:p>
            <w:pPr>
              <w:spacing w:after="0"/>
              <w:rPr>
                <w:sz w:val="19"/>
                <w:szCs w:val="19"/>
                <w:color w:val="auto"/>
              </w:rPr>
            </w:pPr>
          </w:p>
        </w:tc>
        <w:tc>
          <w:tcPr>
            <w:tcW w:w="1660" w:type="dxa"/>
            <w:vAlign w:val="bottom"/>
            <w:tcBorders>
              <w:bottom w:val="single" w:sz="8" w:color="auto"/>
            </w:tcBorders>
          </w:tcPr>
          <w:p>
            <w:pPr>
              <w:jc w:val="center"/>
              <w:spacing w:after="0" w:line="224" w:lineRule="exact"/>
              <w:rPr>
                <w:sz w:val="20"/>
                <w:szCs w:val="20"/>
                <w:color w:val="auto"/>
              </w:rPr>
            </w:pPr>
            <w:r>
              <w:rPr>
                <w:rFonts w:ascii="Arial" w:cs="Arial" w:eastAsia="Arial" w:hAnsi="Arial"/>
                <w:sz w:val="22"/>
                <w:szCs w:val="22"/>
                <w:color w:val="auto"/>
                <w:w w:val="91"/>
              </w:rPr>
              <w:t>Exercisability Date</w:t>
            </w:r>
          </w:p>
        </w:tc>
        <w:tc>
          <w:tcPr>
            <w:tcW w:w="3440" w:type="dxa"/>
            <w:vAlign w:val="bottom"/>
          </w:tcPr>
          <w:p>
            <w:pPr>
              <w:spacing w:after="0"/>
              <w:rPr>
                <w:sz w:val="19"/>
                <w:szCs w:val="19"/>
                <w:color w:val="auto"/>
              </w:rPr>
            </w:pPr>
          </w:p>
        </w:tc>
      </w:tr>
      <w:tr>
        <w:trPr>
          <w:trHeight w:val="458"/>
        </w:trPr>
        <w:tc>
          <w:tcPr>
            <w:tcW w:w="4140" w:type="dxa"/>
            <w:vAlign w:val="bottom"/>
            <w:gridSpan w:val="2"/>
          </w:tcPr>
          <w:p>
            <w:pPr>
              <w:jc w:val="center"/>
              <w:ind w:left="1732"/>
              <w:spacing w:after="0"/>
              <w:rPr>
                <w:sz w:val="20"/>
                <w:szCs w:val="20"/>
                <w:color w:val="auto"/>
              </w:rPr>
            </w:pPr>
            <w:r>
              <w:rPr>
                <w:rFonts w:ascii="Arial" w:cs="Arial" w:eastAsia="Arial" w:hAnsi="Arial"/>
                <w:sz w:val="22"/>
                <w:szCs w:val="22"/>
                <w:color w:val="auto"/>
                <w:w w:val="88"/>
              </w:rPr>
              <w:t>_____________ (___%)</w:t>
            </w:r>
          </w:p>
        </w:tc>
        <w:tc>
          <w:tcPr>
            <w:tcW w:w="20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____________</w:t>
            </w:r>
          </w:p>
        </w:tc>
        <w:tc>
          <w:tcPr>
            <w:tcW w:w="3440" w:type="dxa"/>
            <w:vAlign w:val="bottom"/>
          </w:tcPr>
          <w:p>
            <w:pPr>
              <w:spacing w:after="0"/>
              <w:rPr>
                <w:sz w:val="24"/>
                <w:szCs w:val="24"/>
                <w:color w:val="auto"/>
              </w:rPr>
            </w:pPr>
          </w:p>
        </w:tc>
      </w:tr>
      <w:tr>
        <w:trPr>
          <w:trHeight w:val="243"/>
        </w:trPr>
        <w:tc>
          <w:tcPr>
            <w:tcW w:w="4140" w:type="dxa"/>
            <w:vAlign w:val="bottom"/>
            <w:gridSpan w:val="2"/>
          </w:tcPr>
          <w:p>
            <w:pPr>
              <w:jc w:val="center"/>
              <w:ind w:left="1732"/>
              <w:spacing w:after="0" w:line="243" w:lineRule="exact"/>
              <w:rPr>
                <w:sz w:val="20"/>
                <w:szCs w:val="20"/>
                <w:color w:val="auto"/>
              </w:rPr>
            </w:pPr>
            <w:r>
              <w:rPr>
                <w:rFonts w:ascii="Arial" w:cs="Arial" w:eastAsia="Arial" w:hAnsi="Arial"/>
                <w:sz w:val="22"/>
                <w:szCs w:val="22"/>
                <w:color w:val="auto"/>
                <w:w w:val="88"/>
              </w:rPr>
              <w:t>_____________ (___%)</w:t>
            </w:r>
          </w:p>
        </w:tc>
        <w:tc>
          <w:tcPr>
            <w:tcW w:w="202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Arial" w:cs="Arial" w:eastAsia="Arial" w:hAnsi="Arial"/>
                <w:sz w:val="22"/>
                <w:szCs w:val="22"/>
                <w:color w:val="auto"/>
                <w:w w:val="88"/>
              </w:rPr>
              <w:t>____________</w:t>
            </w:r>
          </w:p>
        </w:tc>
        <w:tc>
          <w:tcPr>
            <w:tcW w:w="3440" w:type="dxa"/>
            <w:vAlign w:val="bottom"/>
          </w:tcPr>
          <w:p>
            <w:pPr>
              <w:spacing w:after="0"/>
              <w:rPr>
                <w:sz w:val="21"/>
                <w:szCs w:val="21"/>
                <w:color w:val="auto"/>
              </w:rPr>
            </w:pPr>
          </w:p>
        </w:tc>
      </w:tr>
      <w:tr>
        <w:trPr>
          <w:trHeight w:val="243"/>
        </w:trPr>
        <w:tc>
          <w:tcPr>
            <w:tcW w:w="4140" w:type="dxa"/>
            <w:vAlign w:val="bottom"/>
            <w:gridSpan w:val="2"/>
          </w:tcPr>
          <w:p>
            <w:pPr>
              <w:jc w:val="center"/>
              <w:ind w:left="1732"/>
              <w:spacing w:after="0" w:line="243" w:lineRule="exact"/>
              <w:rPr>
                <w:sz w:val="20"/>
                <w:szCs w:val="20"/>
                <w:color w:val="auto"/>
              </w:rPr>
            </w:pPr>
            <w:r>
              <w:rPr>
                <w:rFonts w:ascii="Arial" w:cs="Arial" w:eastAsia="Arial" w:hAnsi="Arial"/>
                <w:sz w:val="22"/>
                <w:szCs w:val="22"/>
                <w:color w:val="auto"/>
                <w:w w:val="88"/>
              </w:rPr>
              <w:t>_____________ (___%)</w:t>
            </w:r>
          </w:p>
        </w:tc>
        <w:tc>
          <w:tcPr>
            <w:tcW w:w="202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Arial" w:cs="Arial" w:eastAsia="Arial" w:hAnsi="Arial"/>
                <w:sz w:val="22"/>
                <w:szCs w:val="22"/>
                <w:color w:val="auto"/>
                <w:w w:val="88"/>
              </w:rPr>
              <w:t>____________</w:t>
            </w:r>
          </w:p>
        </w:tc>
        <w:tc>
          <w:tcPr>
            <w:tcW w:w="3440" w:type="dxa"/>
            <w:vAlign w:val="bottom"/>
          </w:tcPr>
          <w:p>
            <w:pPr>
              <w:spacing w:after="0"/>
              <w:rPr>
                <w:sz w:val="21"/>
                <w:szCs w:val="21"/>
                <w:color w:val="auto"/>
              </w:rPr>
            </w:pPr>
          </w:p>
        </w:tc>
      </w:tr>
      <w:tr>
        <w:trPr>
          <w:trHeight w:val="243"/>
        </w:trPr>
        <w:tc>
          <w:tcPr>
            <w:tcW w:w="4140" w:type="dxa"/>
            <w:vAlign w:val="bottom"/>
            <w:gridSpan w:val="2"/>
          </w:tcPr>
          <w:p>
            <w:pPr>
              <w:jc w:val="center"/>
              <w:ind w:left="1732"/>
              <w:spacing w:after="0" w:line="243" w:lineRule="exact"/>
              <w:rPr>
                <w:sz w:val="20"/>
                <w:szCs w:val="20"/>
                <w:color w:val="auto"/>
              </w:rPr>
            </w:pPr>
            <w:r>
              <w:rPr>
                <w:rFonts w:ascii="Arial" w:cs="Arial" w:eastAsia="Arial" w:hAnsi="Arial"/>
                <w:sz w:val="22"/>
                <w:szCs w:val="22"/>
                <w:color w:val="auto"/>
                <w:w w:val="88"/>
              </w:rPr>
              <w:t>_____________ (___%)</w:t>
            </w:r>
          </w:p>
        </w:tc>
        <w:tc>
          <w:tcPr>
            <w:tcW w:w="202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Arial" w:cs="Arial" w:eastAsia="Arial" w:hAnsi="Arial"/>
                <w:sz w:val="22"/>
                <w:szCs w:val="22"/>
                <w:color w:val="auto"/>
                <w:w w:val="88"/>
              </w:rPr>
              <w:t>____________</w:t>
            </w:r>
          </w:p>
        </w:tc>
        <w:tc>
          <w:tcPr>
            <w:tcW w:w="3440" w:type="dxa"/>
            <w:vAlign w:val="bottom"/>
          </w:tcPr>
          <w:p>
            <w:pPr>
              <w:spacing w:after="0"/>
              <w:rPr>
                <w:sz w:val="21"/>
                <w:szCs w:val="21"/>
                <w:color w:val="auto"/>
              </w:rPr>
            </w:pPr>
          </w:p>
        </w:tc>
      </w:tr>
      <w:tr>
        <w:trPr>
          <w:trHeight w:val="274"/>
        </w:trPr>
        <w:tc>
          <w:tcPr>
            <w:tcW w:w="4140" w:type="dxa"/>
            <w:vAlign w:val="bottom"/>
            <w:gridSpan w:val="2"/>
          </w:tcPr>
          <w:p>
            <w:pPr>
              <w:jc w:val="center"/>
              <w:ind w:left="1732"/>
              <w:spacing w:after="0"/>
              <w:rPr>
                <w:sz w:val="20"/>
                <w:szCs w:val="20"/>
                <w:color w:val="auto"/>
              </w:rPr>
            </w:pPr>
            <w:r>
              <w:rPr>
                <w:rFonts w:ascii="Arial" w:cs="Arial" w:eastAsia="Arial" w:hAnsi="Arial"/>
                <w:sz w:val="22"/>
                <w:szCs w:val="22"/>
                <w:color w:val="auto"/>
                <w:w w:val="88"/>
              </w:rPr>
              <w:t>_____________ (___%)</w:t>
            </w:r>
          </w:p>
        </w:tc>
        <w:tc>
          <w:tcPr>
            <w:tcW w:w="202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____________</w:t>
            </w:r>
          </w:p>
        </w:tc>
        <w:tc>
          <w:tcPr>
            <w:tcW w:w="3440" w:type="dxa"/>
            <w:vAlign w:val="bottom"/>
          </w:tcPr>
          <w:p>
            <w:pPr>
              <w:spacing w:after="0"/>
              <w:rPr>
                <w:sz w:val="23"/>
                <w:szCs w:val="23"/>
                <w:color w:val="auto"/>
              </w:rPr>
            </w:pPr>
          </w:p>
        </w:tc>
      </w:tr>
      <w:tr>
        <w:trPr>
          <w:trHeight w:val="753"/>
        </w:trPr>
        <w:tc>
          <w:tcPr>
            <w:tcW w:w="18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60" w:right="319" w:bottom="1440" w:gutter="0" w:footer="0" w:header="0"/>
        </w:sectPr>
      </w:pPr>
    </w:p>
    <w:bookmarkStart w:id="185" w:name="page186"/>
    <w:bookmarkEnd w:id="185"/>
    <w:p>
      <w:pPr>
        <w:ind w:right="160" w:firstLine="864"/>
        <w:spacing w:after="0" w:line="250" w:lineRule="auto"/>
        <w:rPr>
          <w:sz w:val="20"/>
          <w:szCs w:val="20"/>
          <w:color w:val="auto"/>
        </w:rPr>
      </w:pPr>
      <w:r>
        <w:rPr>
          <w:rFonts w:ascii="Arial" w:cs="Arial" w:eastAsia="Arial" w:hAnsi="Arial"/>
          <w:sz w:val="22"/>
          <w:szCs w:val="22"/>
          <w:color w:val="auto"/>
        </w:rPr>
        <w:t>Once exercisable, this Stock Option shall continue to be exercisable at any time or times prior to the close of business on the Expiration Date, subject to the provisions hereof and of the Plan.</w:t>
      </w:r>
    </w:p>
    <w:p>
      <w:pPr>
        <w:spacing w:after="0" w:line="175"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Manner of Exercise.</w:t>
      </w:r>
    </w:p>
    <w:p>
      <w:pPr>
        <w:spacing w:after="0" w:line="206" w:lineRule="exact"/>
        <w:rPr>
          <w:sz w:val="20"/>
          <w:szCs w:val="20"/>
          <w:color w:val="auto"/>
        </w:rPr>
      </w:pPr>
    </w:p>
    <w:p>
      <w:pPr>
        <w:ind w:right="40" w:firstLine="872"/>
        <w:spacing w:after="0" w:line="238" w:lineRule="auto"/>
        <w:tabs>
          <w:tab w:leader="none" w:pos="1751"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5" w:lineRule="exact"/>
        <w:rPr>
          <w:sz w:val="20"/>
          <w:szCs w:val="20"/>
          <w:color w:val="auto"/>
        </w:rPr>
      </w:pPr>
    </w:p>
    <w:p>
      <w:pPr>
        <w:ind w:firstLine="864"/>
        <w:spacing w:after="0" w:line="272"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1" w:lineRule="exact"/>
        <w:rPr>
          <w:sz w:val="20"/>
          <w:szCs w:val="20"/>
          <w:color w:val="auto"/>
        </w:rPr>
      </w:pPr>
    </w:p>
    <w:p>
      <w:pPr>
        <w:ind w:right="100" w:firstLine="864"/>
        <w:spacing w:after="0" w:line="276"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1" w:lineRule="exact"/>
        <w:rPr>
          <w:sz w:val="20"/>
          <w:szCs w:val="20"/>
          <w:color w:val="auto"/>
        </w:rPr>
      </w:pPr>
    </w:p>
    <w:p>
      <w:pPr>
        <w:ind w:left="320" w:hanging="312"/>
        <w:spacing w:after="0"/>
        <w:tabs>
          <w:tab w:leader="none" w:pos="32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24" w:lineRule="exact"/>
        <w:rPr>
          <w:rFonts w:ascii="Arial" w:cs="Arial" w:eastAsia="Arial" w:hAnsi="Arial"/>
          <w:sz w:val="19"/>
          <w:szCs w:val="19"/>
          <w:color w:val="auto"/>
        </w:rPr>
      </w:pPr>
    </w:p>
    <w:p>
      <w:pPr>
        <w:ind w:firstLine="8"/>
        <w:spacing w:after="0" w:line="277" w:lineRule="auto"/>
        <w:tabs>
          <w:tab w:leader="none" w:pos="37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2" w:lineRule="exact"/>
        <w:rPr>
          <w:rFonts w:ascii="Arial" w:cs="Arial" w:eastAsia="Arial" w:hAnsi="Arial"/>
          <w:sz w:val="19"/>
          <w:szCs w:val="19"/>
          <w:color w:val="auto"/>
        </w:rPr>
      </w:pPr>
    </w:p>
    <w:p>
      <w:pPr>
        <w:ind w:right="60" w:firstLine="872"/>
        <w:spacing w:after="0" w:line="249" w:lineRule="auto"/>
        <w:tabs>
          <w:tab w:leader="none" w:pos="1763" w:val="left"/>
        </w:tabs>
        <w:numPr>
          <w:ilvl w:val="1"/>
          <w:numId w:val="134"/>
        </w:numPr>
        <w:rPr>
          <w:rFonts w:ascii="Arial" w:cs="Arial" w:eastAsia="Arial" w:hAnsi="Arial"/>
          <w:sz w:val="21"/>
          <w:szCs w:val="21"/>
          <w:color w:val="auto"/>
        </w:rPr>
      </w:pPr>
      <w:r>
        <w:rPr>
          <w:rFonts w:ascii="Arial" w:cs="Arial" w:eastAsia="Arial" w:hAnsi="Arial"/>
          <w:sz w:val="21"/>
          <w:szCs w:val="21"/>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86" w:name="page187"/>
    <w:bookmarkEnd w:id="186"/>
    <w:p>
      <w:pPr>
        <w:spacing w:after="0" w:line="252" w:lineRule="auto"/>
        <w:rPr>
          <w:sz w:val="20"/>
          <w:szCs w:val="20"/>
          <w:color w:val="auto"/>
        </w:rPr>
      </w:pPr>
      <w:r>
        <w:rPr>
          <w:rFonts w:ascii="Arial" w:cs="Arial" w:eastAsia="Arial" w:hAnsi="Arial"/>
          <w:sz w:val="21"/>
          <w:szCs w:val="21"/>
          <w:color w:val="auto"/>
        </w:rPr>
        <w:t>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74" w:lineRule="exact"/>
        <w:rPr>
          <w:sz w:val="20"/>
          <w:szCs w:val="20"/>
          <w:color w:val="auto"/>
        </w:rPr>
      </w:pPr>
    </w:p>
    <w:p>
      <w:pPr>
        <w:ind w:right="80" w:firstLine="872"/>
        <w:spacing w:after="0"/>
        <w:tabs>
          <w:tab w:leader="none" w:pos="1751"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6" w:lineRule="exact"/>
        <w:rPr>
          <w:rFonts w:ascii="Arial" w:cs="Arial" w:eastAsia="Arial" w:hAnsi="Arial"/>
          <w:sz w:val="22"/>
          <w:szCs w:val="22"/>
          <w:color w:val="auto"/>
        </w:rPr>
      </w:pPr>
    </w:p>
    <w:p>
      <w:pPr>
        <w:ind w:right="920" w:firstLine="872"/>
        <w:spacing w:after="0" w:line="250" w:lineRule="auto"/>
        <w:tabs>
          <w:tab w:leader="none" w:pos="176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5" w:lineRule="exact"/>
        <w:rPr>
          <w:sz w:val="20"/>
          <w:szCs w:val="20"/>
          <w:color w:val="auto"/>
        </w:rPr>
      </w:pPr>
    </w:p>
    <w:p>
      <w:pPr>
        <w:jc w:val="both"/>
        <w:ind w:left="1720" w:right="60" w:hanging="1713"/>
        <w:spacing w:after="0"/>
        <w:tabs>
          <w:tab w:leader="none" w:pos="170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22"/>
          <w:szCs w:val="22"/>
          <w:u w:val="single" w:color="auto"/>
          <w:color w:val="auto"/>
        </w:rPr>
        <w:t xml:space="preserve">Termination of Service Relationship. </w:t>
      </w:r>
      <w:r>
        <w:rPr>
          <w:rFonts w:ascii="Arial" w:cs="Arial" w:eastAsia="Arial" w:hAnsi="Arial"/>
          <w:sz w:val="22"/>
          <w:szCs w:val="22"/>
          <w:color w:val="auto"/>
        </w:rPr>
        <w:t>If the Optionee’s Service Relationship by the Company or a Subsidiary</w:t>
      </w:r>
      <w:r>
        <w:rPr>
          <w:rFonts w:ascii="Arial" w:cs="Arial" w:eastAsia="Arial" w:hAnsi="Arial"/>
          <w:sz w:val="22"/>
          <w:szCs w:val="22"/>
          <w:u w:val="single" w:color="auto"/>
          <w:color w:val="auto"/>
        </w:rPr>
        <w:t xml:space="preserve"> </w:t>
      </w:r>
      <w:r>
        <w:rPr>
          <w:rFonts w:ascii="Arial" w:cs="Arial" w:eastAsia="Arial" w:hAnsi="Arial"/>
          <w:sz w:val="22"/>
          <w:szCs w:val="22"/>
          <w:color w:val="auto"/>
        </w:rPr>
        <w:t>(as defined in the Plan) is terminated, the period within which to exercise the Stock Option may be subject to earlier termination as set forth below.</w:t>
      </w:r>
    </w:p>
    <w:p>
      <w:pPr>
        <w:spacing w:after="0" w:line="186" w:lineRule="exact"/>
        <w:rPr>
          <w:sz w:val="20"/>
          <w:szCs w:val="20"/>
          <w:color w:val="auto"/>
        </w:rPr>
      </w:pPr>
    </w:p>
    <w:p>
      <w:pPr>
        <w:ind w:firstLine="872"/>
        <w:spacing w:after="0" w:line="236" w:lineRule="auto"/>
        <w:tabs>
          <w:tab w:leader="none" w:pos="1751"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the Optionee’s Service Relationship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87" w:lineRule="exact"/>
        <w:rPr>
          <w:rFonts w:ascii="Arial" w:cs="Arial" w:eastAsia="Arial" w:hAnsi="Arial"/>
          <w:sz w:val="22"/>
          <w:szCs w:val="22"/>
          <w:color w:val="auto"/>
        </w:rPr>
      </w:pPr>
    </w:p>
    <w:p>
      <w:pPr>
        <w:ind w:firstLine="872"/>
        <w:spacing w:after="0" w:line="282" w:lineRule="auto"/>
        <w:tabs>
          <w:tab w:leader="none" w:pos="1763"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If the Optionee’s Service Relationship terminates by reason of the Optionee’s disability (as determined by the Administrator), any portion of this Stock Option outstanding on such date, to the extent exercisable on the date of such termination of Service Relationship,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47" w:lineRule="exact"/>
        <w:rPr>
          <w:rFonts w:ascii="Arial" w:cs="Arial" w:eastAsia="Arial" w:hAnsi="Arial"/>
          <w:sz w:val="19"/>
          <w:szCs w:val="19"/>
          <w:color w:val="auto"/>
        </w:rPr>
      </w:pPr>
    </w:p>
    <w:p>
      <w:pPr>
        <w:ind w:right="140" w:firstLine="872"/>
        <w:spacing w:after="0" w:line="234" w:lineRule="auto"/>
        <w:tabs>
          <w:tab w:leader="none" w:pos="1751"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 If the Optionee’s Service Relationship terminates for Cause, any portion of this Stock Option outstanding on such date shall terminate immediately and be of no further force and effect. For purposes hereof, “Cause” shall mean, unless otherwise provided in an employment agreement (or similar services agreements)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86" w:lineRule="exact"/>
        <w:rPr>
          <w:rFonts w:ascii="Arial" w:cs="Arial" w:eastAsia="Arial" w:hAnsi="Arial"/>
          <w:sz w:val="22"/>
          <w:szCs w:val="22"/>
          <w:color w:val="auto"/>
        </w:rPr>
      </w:pPr>
    </w:p>
    <w:p>
      <w:pPr>
        <w:ind w:right="900" w:firstLine="872"/>
        <w:spacing w:after="0" w:line="250" w:lineRule="auto"/>
        <w:tabs>
          <w:tab w:leader="none" w:pos="1763"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If the Optionee’s Service Relationship terminates for any reason other than the Optionee’s death, the Optionee’s disability or Cause, and unless otherwise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87" w:name="page188"/>
    <w:bookmarkEnd w:id="187"/>
    <w:p>
      <w:pPr>
        <w:ind w:right="160"/>
        <w:spacing w:after="0" w:line="238" w:lineRule="auto"/>
        <w:rPr>
          <w:sz w:val="20"/>
          <w:szCs w:val="20"/>
          <w:color w:val="auto"/>
        </w:rPr>
      </w:pPr>
      <w:r>
        <w:rPr>
          <w:rFonts w:ascii="Arial" w:cs="Arial" w:eastAsia="Arial" w:hAnsi="Arial"/>
          <w:sz w:val="22"/>
          <w:szCs w:val="22"/>
          <w:color w:val="auto"/>
        </w:rPr>
        <w:t>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85" w:lineRule="exact"/>
        <w:rPr>
          <w:sz w:val="20"/>
          <w:szCs w:val="20"/>
          <w:color w:val="auto"/>
        </w:rPr>
      </w:pPr>
    </w:p>
    <w:p>
      <w:pPr>
        <w:ind w:right="720" w:firstLine="864"/>
        <w:spacing w:after="0" w:line="250" w:lineRule="auto"/>
        <w:rPr>
          <w:sz w:val="20"/>
          <w:szCs w:val="20"/>
          <w:color w:val="auto"/>
        </w:rPr>
      </w:pPr>
      <w:r>
        <w:rPr>
          <w:rFonts w:ascii="Arial" w:cs="Arial" w:eastAsia="Arial" w:hAnsi="Arial"/>
          <w:sz w:val="22"/>
          <w:szCs w:val="22"/>
          <w:color w:val="auto"/>
        </w:rPr>
        <w:t>The Administrator’s determination of the reason for termination of the Optionee’s Service Relationship shall be conclusive and binding on the Optionee and his or her representatives or legatees.</w:t>
      </w:r>
    </w:p>
    <w:p>
      <w:pPr>
        <w:spacing w:after="0" w:line="175" w:lineRule="exact"/>
        <w:rPr>
          <w:sz w:val="20"/>
          <w:szCs w:val="20"/>
          <w:color w:val="auto"/>
        </w:rPr>
      </w:pPr>
    </w:p>
    <w:p>
      <w:pPr>
        <w:ind w:left="1720" w:hanging="1713"/>
        <w:spacing w:after="0" w:line="238" w:lineRule="auto"/>
        <w:tabs>
          <w:tab w:leader="none" w:pos="17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w:t>
      </w:r>
      <w:r>
        <w:rPr>
          <w:rFonts w:ascii="Arial" w:cs="Arial" w:eastAsia="Arial" w:hAnsi="Arial"/>
          <w:sz w:val="22"/>
          <w:szCs w:val="22"/>
          <w:u w:val="single" w:color="auto"/>
          <w:color w:val="auto"/>
        </w:rPr>
        <w:t xml:space="preserve"> </w:t>
      </w:r>
      <w:r>
        <w:rPr>
          <w:rFonts w:ascii="Arial" w:cs="Arial" w:eastAsia="Arial" w:hAnsi="Arial"/>
          <w:sz w:val="22"/>
          <w:szCs w:val="22"/>
          <w:color w:val="auto"/>
        </w:rPr>
        <w:t>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5" w:lineRule="exact"/>
        <w:rPr>
          <w:sz w:val="20"/>
          <w:szCs w:val="20"/>
          <w:color w:val="auto"/>
        </w:rPr>
      </w:pPr>
    </w:p>
    <w:p>
      <w:pPr>
        <w:ind w:left="1720" w:right="140" w:hanging="1713"/>
        <w:spacing w:after="0" w:line="238" w:lineRule="auto"/>
        <w:tabs>
          <w:tab w:leader="none" w:pos="170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w:t>
      </w:r>
      <w:r>
        <w:rPr>
          <w:rFonts w:ascii="Arial" w:cs="Arial" w:eastAsia="Arial" w:hAnsi="Arial"/>
          <w:sz w:val="22"/>
          <w:szCs w:val="22"/>
          <w:u w:val="single" w:color="auto"/>
          <w:color w:val="auto"/>
        </w:rPr>
        <w:t xml:space="preserve"> </w:t>
      </w:r>
      <w:r>
        <w:rPr>
          <w:rFonts w:ascii="Arial" w:cs="Arial" w:eastAsia="Arial" w:hAnsi="Arial"/>
          <w:sz w:val="22"/>
          <w:szCs w:val="22"/>
          <w:color w:val="auto"/>
        </w:rPr>
        <w:t>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5" w:lineRule="exact"/>
        <w:rPr>
          <w:sz w:val="20"/>
          <w:szCs w:val="20"/>
          <w:color w:val="auto"/>
        </w:rPr>
      </w:pPr>
    </w:p>
    <w:p>
      <w:pPr>
        <w:ind w:left="1720" w:right="20" w:hanging="1713"/>
        <w:spacing w:after="0" w:line="245" w:lineRule="auto"/>
        <w:tabs>
          <w:tab w:leader="none" w:pos="170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21"/>
          <w:szCs w:val="21"/>
          <w:u w:val="single" w:color="auto"/>
          <w:color w:val="auto"/>
        </w:rPr>
        <w:t>Tax Withholding</w:t>
      </w:r>
      <w:r>
        <w:rPr>
          <w:rFonts w:ascii="Arial" w:cs="Arial" w:eastAsia="Arial" w:hAnsi="Arial"/>
          <w:sz w:val="21"/>
          <w:szCs w:val="21"/>
          <w:color w:val="auto"/>
        </w:rPr>
        <w:t>. The Optionee shall, not later than the date as of which the exercise of this Stock Option</w:t>
      </w:r>
      <w:r>
        <w:rPr>
          <w:rFonts w:ascii="Arial" w:cs="Arial" w:eastAsia="Arial" w:hAnsi="Arial"/>
          <w:sz w:val="21"/>
          <w:szCs w:val="21"/>
          <w:u w:val="single" w:color="auto"/>
          <w:color w:val="auto"/>
        </w:rPr>
        <w:t xml:space="preserve"> </w:t>
      </w:r>
      <w:r>
        <w:rPr>
          <w:rFonts w:ascii="Arial" w:cs="Arial" w:eastAsia="Arial" w:hAnsi="Arial"/>
          <w:sz w:val="21"/>
          <w:szCs w:val="21"/>
          <w:color w:val="auto"/>
        </w:rPr>
        <w:t>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withholding from shares of Stock to be issued to the Optionee a number of shares of Stock with an aggregate Fair Market Value that would satisfy the withholding amount due; provided, however, that the amount withheld does not exceed the maximum statutory tax rate or such lesser amount as is necessary to avoid adverse accounting treatment or as determined by the Administrator.</w:t>
      </w:r>
    </w:p>
    <w:p>
      <w:pPr>
        <w:spacing w:after="0" w:line="184" w:lineRule="exact"/>
        <w:rPr>
          <w:sz w:val="20"/>
          <w:szCs w:val="20"/>
          <w:color w:val="auto"/>
        </w:rPr>
      </w:pPr>
    </w:p>
    <w:p>
      <w:pPr>
        <w:ind w:left="1720" w:right="100" w:hanging="1713"/>
        <w:spacing w:after="0" w:line="252" w:lineRule="auto"/>
        <w:tabs>
          <w:tab w:leader="none" w:pos="170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21"/>
          <w:szCs w:val="21"/>
          <w:u w:val="single" w:color="auto"/>
          <w:color w:val="auto"/>
        </w:rPr>
        <w:t>No Obligation to Continue Service Relationship</w:t>
      </w:r>
      <w:r>
        <w:rPr>
          <w:rFonts w:ascii="Arial" w:cs="Arial" w:eastAsia="Arial" w:hAnsi="Arial"/>
          <w:sz w:val="21"/>
          <w:szCs w:val="21"/>
          <w:color w:val="auto"/>
        </w:rPr>
        <w:t>. Neither the Company nor any Subsidiary is obligated by or</w:t>
      </w:r>
      <w:r>
        <w:rPr>
          <w:rFonts w:ascii="Arial" w:cs="Arial" w:eastAsia="Arial" w:hAnsi="Arial"/>
          <w:sz w:val="21"/>
          <w:szCs w:val="21"/>
          <w:u w:val="single" w:color="auto"/>
          <w:color w:val="auto"/>
        </w:rPr>
        <w:t xml:space="preserve"> </w:t>
      </w:r>
      <w:r>
        <w:rPr>
          <w:rFonts w:ascii="Arial" w:cs="Arial" w:eastAsia="Arial" w:hAnsi="Arial"/>
          <w:sz w:val="21"/>
          <w:szCs w:val="21"/>
          <w:color w:val="auto"/>
        </w:rPr>
        <w:t>as a result of the Plan or this Agreement to continue the Optionee’s Service Relationship and neither the Plan nor this Agreement shall interfere in any way with the right of the Company or any Subsidiary to terminate the Service Relationship of the Optionee at any time.</w:t>
      </w:r>
    </w:p>
    <w:p>
      <w:pPr>
        <w:spacing w:after="0" w:line="174" w:lineRule="exact"/>
        <w:rPr>
          <w:sz w:val="20"/>
          <w:szCs w:val="20"/>
          <w:color w:val="auto"/>
        </w:rPr>
      </w:pPr>
    </w:p>
    <w:p>
      <w:pPr>
        <w:ind w:left="1720" w:right="260" w:hanging="1713"/>
        <w:spacing w:after="0"/>
        <w:tabs>
          <w:tab w:leader="none" w:pos="170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this Stock</w:t>
      </w:r>
      <w:r>
        <w:rPr>
          <w:rFonts w:ascii="Arial" w:cs="Arial" w:eastAsia="Arial" w:hAnsi="Arial"/>
          <w:sz w:val="22"/>
          <w:szCs w:val="22"/>
          <w:u w:val="single" w:color="auto"/>
          <w:color w:val="auto"/>
        </w:rPr>
        <w:t xml:space="preserve"> </w:t>
      </w:r>
      <w:r>
        <w:rPr>
          <w:rFonts w:ascii="Arial" w:cs="Arial" w:eastAsia="Arial" w:hAnsi="Arial"/>
          <w:sz w:val="22"/>
          <w:szCs w:val="22"/>
          <w:color w:val="auto"/>
        </w:rPr>
        <w:t>Option and supersedes all prior agreements and discussions between the parties concerning such subject matter.</w:t>
      </w:r>
    </w:p>
    <w:p>
      <w:pPr>
        <w:spacing w:after="0" w:line="186" w:lineRule="exact"/>
        <w:rPr>
          <w:sz w:val="20"/>
          <w:szCs w:val="20"/>
          <w:color w:val="auto"/>
        </w:rPr>
      </w:pPr>
    </w:p>
    <w:p>
      <w:pPr>
        <w:jc w:val="both"/>
        <w:ind w:left="1720" w:right="480" w:hanging="1713"/>
        <w:spacing w:after="0"/>
        <w:tabs>
          <w:tab w:leader="none" w:pos="170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22"/>
          <w:szCs w:val="22"/>
          <w:u w:val="single" w:color="auto"/>
          <w:color w:val="auto"/>
        </w:rPr>
        <w:t>Data Privacy Consent</w:t>
      </w:r>
      <w:r>
        <w:rPr>
          <w:rFonts w:ascii="Arial" w:cs="Arial" w:eastAsia="Arial" w:hAnsi="Arial"/>
          <w:sz w:val="22"/>
          <w:szCs w:val="22"/>
          <w:color w:val="auto"/>
        </w:rPr>
        <w:t>. In order to administer the Plan and this Agreement and to implement or structure</w:t>
      </w:r>
      <w:r>
        <w:rPr>
          <w:rFonts w:ascii="Arial" w:cs="Arial" w:eastAsia="Arial" w:hAnsi="Arial"/>
          <w:sz w:val="22"/>
          <w:szCs w:val="22"/>
          <w:u w:val="single" w:color="auto"/>
          <w:color w:val="auto"/>
        </w:rPr>
        <w:t xml:space="preserve"> </w:t>
      </w:r>
      <w:r>
        <w:rPr>
          <w:rFonts w:ascii="Arial" w:cs="Arial" w:eastAsia="Arial" w:hAnsi="Arial"/>
          <w:sz w:val="22"/>
          <w:szCs w:val="22"/>
          <w:color w:val="auto"/>
        </w:rPr>
        <w:t>future equity grants, the Company, its subsidiaries and affiliates and certain agents thereof (together, the “Relevant Companies”) may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8" w:name="page189"/>
    <w:bookmarkEnd w:id="188"/>
    <w:p>
      <w:pPr>
        <w:ind w:left="1700"/>
        <w:spacing w:after="0"/>
        <w:rPr>
          <w:sz w:val="20"/>
          <w:szCs w:val="20"/>
          <w:color w:val="auto"/>
        </w:rPr>
      </w:pPr>
      <w:r>
        <w:rPr>
          <w:rFonts w:ascii="Arial" w:cs="Arial" w:eastAsia="Arial" w:hAnsi="Arial"/>
          <w:sz w:val="21"/>
          <w:szCs w:val="21"/>
          <w:color w:val="auto"/>
        </w:rPr>
        <w:t>process any and all personal or professional data, including but not limited to Social Security or other</w:t>
      </w:r>
    </w:p>
    <w:p>
      <w:pPr>
        <w:spacing w:after="0" w:line="20"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identification number, home address and telephone number, date of birth and other information that is</w:t>
      </w:r>
    </w:p>
    <w:p>
      <w:pPr>
        <w:ind w:left="1700"/>
        <w:spacing w:after="0" w:line="231" w:lineRule="auto"/>
        <w:rPr>
          <w:sz w:val="20"/>
          <w:szCs w:val="20"/>
          <w:color w:val="auto"/>
        </w:rPr>
      </w:pPr>
      <w:r>
        <w:rPr>
          <w:rFonts w:ascii="Arial" w:cs="Arial" w:eastAsia="Arial" w:hAnsi="Arial"/>
          <w:sz w:val="22"/>
          <w:szCs w:val="22"/>
          <w:color w:val="auto"/>
        </w:rPr>
        <w:t>necessary or desirable for the administration of the Plan and/or this Agreement (the “Relevant</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Information”). By entering into this Agreement, the Optionee (i) authorizes the Company to collect, process,</w:t>
      </w:r>
    </w:p>
    <w:p>
      <w:pPr>
        <w:spacing w:after="0" w:line="25"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register and transfer to the Relevant Companies all Relevant Information; (ii) waives any privacy rights the</w:t>
      </w:r>
    </w:p>
    <w:p>
      <w:pPr>
        <w:spacing w:after="0" w:line="25"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Optionee may have with respect to the Relevant Information; (iii) authorizes the Relevant Companies to store</w:t>
      </w:r>
    </w:p>
    <w:p>
      <w:pPr>
        <w:spacing w:after="0" w:line="25"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and transmit such information in electronic form; and (iv) authorizes the transfer of the Relevant Information</w:t>
      </w:r>
    </w:p>
    <w:p>
      <w:pPr>
        <w:spacing w:after="0" w:line="25"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to any jurisdiction in which the Relevant Companies consider appropriate. The Optionee shall have access to,</w:t>
      </w:r>
    </w:p>
    <w:p>
      <w:pPr>
        <w:spacing w:after="0" w:line="25"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and the right to change, the Relevant Information. Relevant Information will only be used in accordance with</w:t>
      </w:r>
    </w:p>
    <w:p>
      <w:pPr>
        <w:spacing w:after="0" w:line="25"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applicable law.</w:t>
      </w:r>
    </w:p>
    <w:p>
      <w:pPr>
        <w:spacing w:after="0" w:line="188" w:lineRule="exact"/>
        <w:rPr>
          <w:sz w:val="20"/>
          <w:szCs w:val="20"/>
          <w:color w:val="auto"/>
        </w:rPr>
      </w:pPr>
    </w:p>
    <w:p>
      <w:pPr>
        <w:jc w:val="both"/>
        <w:ind w:left="1700" w:right="40" w:hanging="1713"/>
        <w:spacing w:after="0" w:line="297" w:lineRule="auto"/>
        <w:tabs>
          <w:tab w:leader="none" w:pos="168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 Notices hereunder shall be mailed or delivered to the Company at its principal place of business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shall be mailed or delivered to the Optionee at the address on file with the Company or, in either case, at such other address as one party may subsequently furnish to the other party in writing.</w:t>
      </w:r>
    </w:p>
    <w:p>
      <w:pPr>
        <w:spacing w:after="0" w:line="350"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sectPr>
      </w:pPr>
    </w:p>
    <w:bookmarkStart w:id="189" w:name="page190"/>
    <w:bookmarkEnd w:id="189"/>
    <w:p>
      <w:pPr>
        <w:ind w:left="5620"/>
        <w:spacing w:after="0"/>
        <w:rPr>
          <w:sz w:val="20"/>
          <w:szCs w:val="20"/>
          <w:color w:val="auto"/>
        </w:rPr>
      </w:pPr>
      <w:r>
        <w:rPr>
          <w:rFonts w:ascii="Arial" w:cs="Arial" w:eastAsia="Arial" w:hAnsi="Arial"/>
          <w:sz w:val="22"/>
          <w:szCs w:val="22"/>
          <w:b w:val="1"/>
          <w:bCs w:val="1"/>
          <w:color w:val="auto"/>
        </w:rPr>
        <w:t>AVROBIO,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6985</wp:posOffset>
            </wp:positionV>
            <wp:extent cx="32061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w:t>
      </w:r>
    </w:p>
    <w:p>
      <w:pPr>
        <w:spacing w:after="0" w:line="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57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Optionee’s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6985</wp:posOffset>
            </wp:positionV>
            <wp:extent cx="67290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847090</wp:posOffset>
            </wp:positionV>
            <wp:extent cx="34715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347154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564515</wp:posOffset>
            </wp:positionV>
            <wp:extent cx="34715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347154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281305</wp:posOffset>
            </wp:positionV>
            <wp:extent cx="34715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328" w:right="35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List of Subsidiaries</w:t>
            </w:r>
          </w:p>
        </w:tc>
      </w:tr>
      <w:tr>
        <w:trPr>
          <w:trHeight w:val="20"/>
        </w:trPr>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85"/>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3820" w:type="dxa"/>
            <w:vAlign w:val="bottom"/>
            <w:gridSpan w:val="4"/>
          </w:tcPr>
          <w:p>
            <w:pPr>
              <w:ind w:left="1020"/>
              <w:spacing w:after="0"/>
              <w:rPr>
                <w:sz w:val="20"/>
                <w:szCs w:val="20"/>
                <w:color w:val="auto"/>
              </w:rPr>
            </w:pPr>
            <w:r>
              <w:rPr>
                <w:rFonts w:ascii="Arial" w:cs="Arial" w:eastAsia="Arial" w:hAnsi="Arial"/>
                <w:sz w:val="14"/>
                <w:szCs w:val="14"/>
                <w:b w:val="1"/>
                <w:bCs w:val="1"/>
                <w:color w:val="auto"/>
                <w:w w:val="94"/>
              </w:rPr>
              <w:t>Jurisdiction of incorporation or organization</w:t>
            </w:r>
          </w:p>
        </w:tc>
      </w:t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2"/>
              </w:rPr>
              <w:t>AVROBIO</w:t>
            </w:r>
          </w:p>
        </w:tc>
        <w:tc>
          <w:tcPr>
            <w:tcW w:w="2780" w:type="dxa"/>
            <w:vAlign w:val="bottom"/>
          </w:tcPr>
          <w:p>
            <w:pPr>
              <w:ind w:left="140"/>
              <w:spacing w:after="0" w:line="195" w:lineRule="exact"/>
              <w:rPr>
                <w:sz w:val="20"/>
                <w:szCs w:val="20"/>
                <w:color w:val="auto"/>
              </w:rPr>
            </w:pPr>
            <w:r>
              <w:rPr>
                <w:rFonts w:ascii="Arial" w:cs="Arial" w:eastAsia="Arial" w:hAnsi="Arial"/>
                <w:sz w:val="18"/>
                <w:szCs w:val="18"/>
                <w:color w:val="auto"/>
              </w:rPr>
              <w:t>Inc.</w:t>
            </w:r>
          </w:p>
        </w:tc>
        <w:tc>
          <w:tcPr>
            <w:tcW w:w="1020" w:type="dxa"/>
            <w:vAlign w:val="bottom"/>
          </w:tcPr>
          <w:p>
            <w:pPr>
              <w:spacing w:after="0"/>
              <w:rPr>
                <w:sz w:val="16"/>
                <w:szCs w:val="16"/>
                <w:color w:val="auto"/>
              </w:rPr>
            </w:pPr>
          </w:p>
        </w:tc>
        <w:tc>
          <w:tcPr>
            <w:tcW w:w="28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Ontario, Canada</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AVROBIO Australia Pty Ltd</w:t>
            </w:r>
          </w:p>
        </w:tc>
        <w:tc>
          <w:tcPr>
            <w:tcW w:w="3820" w:type="dxa"/>
            <w:vAlign w:val="bottom"/>
            <w:gridSpan w:val="4"/>
          </w:tcPr>
          <w:p>
            <w:pPr>
              <w:ind w:left="1020"/>
              <w:spacing w:after="0"/>
              <w:rPr>
                <w:sz w:val="20"/>
                <w:szCs w:val="20"/>
                <w:color w:val="auto"/>
              </w:rPr>
            </w:pPr>
            <w:r>
              <w:rPr>
                <w:rFonts w:ascii="Arial" w:cs="Arial" w:eastAsia="Arial" w:hAnsi="Arial"/>
                <w:sz w:val="18"/>
                <w:szCs w:val="18"/>
                <w:color w:val="auto"/>
              </w:rPr>
              <w:t>Australia</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AVROBIO Securities Corporation</w:t>
            </w:r>
          </w:p>
        </w:tc>
        <w:tc>
          <w:tcPr>
            <w:tcW w:w="3820" w:type="dxa"/>
            <w:vAlign w:val="bottom"/>
            <w:gridSpan w:val="4"/>
          </w:tcPr>
          <w:p>
            <w:pPr>
              <w:ind w:left="1020"/>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240"/>
          </w:cols>
          <w:pgMar w:left="320" w:top="351"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49" w:lineRule="exact"/>
        <w:rPr>
          <w:sz w:val="20"/>
          <w:szCs w:val="20"/>
          <w:color w:val="auto"/>
        </w:rPr>
      </w:pPr>
    </w:p>
    <w:p>
      <w:pPr>
        <w:ind w:right="2860" w:firstLine="2858"/>
        <w:spacing w:after="0" w:line="522"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spacing w:after="0" w:line="1" w:lineRule="exact"/>
        <w:rPr>
          <w:sz w:val="20"/>
          <w:szCs w:val="20"/>
          <w:color w:val="auto"/>
        </w:rPr>
      </w:pPr>
    </w:p>
    <w:p>
      <w:pPr>
        <w:ind w:left="880" w:right="20" w:hanging="440"/>
        <w:spacing w:after="0" w:line="328" w:lineRule="auto"/>
        <w:tabs>
          <w:tab w:leader="none" w:pos="88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Registration Statement (Form S-8 No. 333-225788) pertaining to the Amended and Restated 2015 Stock Option and Grant Plan, the 2018 Stock Option and Incentive Plan, and the 2018 Employee Stock Purchase Plan of AVROBIO, Inc.,</w:t>
      </w:r>
    </w:p>
    <w:p>
      <w:pPr>
        <w:spacing w:after="0" w:line="118" w:lineRule="exact"/>
        <w:rPr>
          <w:rFonts w:ascii="Arial" w:cs="Arial" w:eastAsia="Arial" w:hAnsi="Arial"/>
          <w:sz w:val="19"/>
          <w:szCs w:val="19"/>
          <w:color w:val="auto"/>
        </w:rPr>
      </w:pPr>
    </w:p>
    <w:p>
      <w:pPr>
        <w:ind w:left="880" w:right="920" w:hanging="440"/>
        <w:spacing w:after="0" w:line="250" w:lineRule="auto"/>
        <w:tabs>
          <w:tab w:leader="none" w:pos="8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Registration Statement (Form S-8 No. 333-230493) pertaining to the Inducement Stock Option Agreement of AVROBIO, Inc.,</w:t>
      </w:r>
    </w:p>
    <w:p>
      <w:pPr>
        <w:spacing w:after="0" w:line="188" w:lineRule="exact"/>
        <w:rPr>
          <w:rFonts w:ascii="Arial" w:cs="Arial" w:eastAsia="Arial" w:hAnsi="Arial"/>
          <w:sz w:val="22"/>
          <w:szCs w:val="22"/>
          <w:color w:val="auto"/>
        </w:rPr>
      </w:pPr>
    </w:p>
    <w:p>
      <w:pPr>
        <w:ind w:left="880" w:right="400" w:hanging="440"/>
        <w:spacing w:after="0" w:line="250" w:lineRule="auto"/>
        <w:tabs>
          <w:tab w:leader="none" w:pos="8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Registration Statement (Form S-8 No. 333-230494) pertaining to the 2018 Stock Option and Incentive Plan and the 2018 Employee Stock Purchase Plan of AVROBIO, Inc.,</w:t>
      </w:r>
    </w:p>
    <w:p>
      <w:pPr>
        <w:spacing w:after="0" w:line="188" w:lineRule="exact"/>
        <w:rPr>
          <w:rFonts w:ascii="Arial" w:cs="Arial" w:eastAsia="Arial" w:hAnsi="Arial"/>
          <w:sz w:val="22"/>
          <w:szCs w:val="22"/>
          <w:color w:val="auto"/>
        </w:rPr>
      </w:pPr>
    </w:p>
    <w:p>
      <w:pPr>
        <w:ind w:left="880" w:hanging="440"/>
        <w:spacing w:after="0"/>
        <w:tabs>
          <w:tab w:leader="none" w:pos="8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Registration Statement (Form S-3 No. 333-232489) of AVROBIO, Inc.,</w:t>
      </w:r>
    </w:p>
    <w:p>
      <w:pPr>
        <w:spacing w:after="0" w:line="219" w:lineRule="exact"/>
        <w:rPr>
          <w:rFonts w:ascii="Arial" w:cs="Arial" w:eastAsia="Arial" w:hAnsi="Arial"/>
          <w:sz w:val="22"/>
          <w:szCs w:val="22"/>
          <w:color w:val="auto"/>
        </w:rPr>
      </w:pPr>
    </w:p>
    <w:p>
      <w:pPr>
        <w:ind w:left="880" w:right="920" w:hanging="440"/>
        <w:spacing w:after="0" w:line="250" w:lineRule="auto"/>
        <w:tabs>
          <w:tab w:leader="none" w:pos="8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Registration Statement (Form S-8 No. 333-234641) pertaining to the Inducement Stock Option Agreement of AVROBIO, Inc.,</w:t>
      </w:r>
    </w:p>
    <w:p>
      <w:pPr>
        <w:spacing w:after="0" w:line="188" w:lineRule="exact"/>
        <w:rPr>
          <w:rFonts w:ascii="Arial" w:cs="Arial" w:eastAsia="Arial" w:hAnsi="Arial"/>
          <w:sz w:val="22"/>
          <w:szCs w:val="22"/>
          <w:color w:val="auto"/>
        </w:rPr>
      </w:pPr>
    </w:p>
    <w:p>
      <w:pPr>
        <w:ind w:left="880" w:hanging="440"/>
        <w:spacing w:after="0"/>
        <w:tabs>
          <w:tab w:leader="none" w:pos="8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Registration Statement (Form S-3 No. 333-235641) of AVROBIO, Inc.,</w:t>
      </w:r>
    </w:p>
    <w:p>
      <w:pPr>
        <w:spacing w:after="0" w:line="219" w:lineRule="exact"/>
        <w:rPr>
          <w:rFonts w:ascii="Arial" w:cs="Arial" w:eastAsia="Arial" w:hAnsi="Arial"/>
          <w:sz w:val="22"/>
          <w:szCs w:val="22"/>
          <w:color w:val="auto"/>
        </w:rPr>
      </w:pPr>
    </w:p>
    <w:p>
      <w:pPr>
        <w:ind w:left="880" w:right="140" w:hanging="440"/>
        <w:spacing w:after="0" w:line="250" w:lineRule="auto"/>
        <w:tabs>
          <w:tab w:leader="none" w:pos="8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Registration Statement (Form S-8 No. 333-235643) pertaining to the 2019 Inducement Plan and the Inducement Stock Option Agreement of AVROBIO, Inc.,</w:t>
      </w:r>
    </w:p>
    <w:p>
      <w:pPr>
        <w:spacing w:after="0" w:line="188" w:lineRule="exact"/>
        <w:rPr>
          <w:rFonts w:ascii="Arial" w:cs="Arial" w:eastAsia="Arial" w:hAnsi="Arial"/>
          <w:sz w:val="22"/>
          <w:szCs w:val="22"/>
          <w:color w:val="auto"/>
        </w:rPr>
      </w:pPr>
    </w:p>
    <w:p>
      <w:pPr>
        <w:ind w:left="880" w:right="400" w:hanging="440"/>
        <w:spacing w:after="0" w:line="250" w:lineRule="auto"/>
        <w:tabs>
          <w:tab w:leader="none" w:pos="8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Registration Statement (Form S-8 No. 333-237203) pertaining to the 2018 Stock Option and Incentive Plan and the 2018 Employee Stock Purchase Plan of AVROBIO, Inc., and</w:t>
      </w:r>
    </w:p>
    <w:p>
      <w:pPr>
        <w:spacing w:after="0" w:line="188" w:lineRule="exact"/>
        <w:rPr>
          <w:rFonts w:ascii="Arial" w:cs="Arial" w:eastAsia="Arial" w:hAnsi="Arial"/>
          <w:sz w:val="22"/>
          <w:szCs w:val="22"/>
          <w:color w:val="auto"/>
        </w:rPr>
      </w:pPr>
    </w:p>
    <w:p>
      <w:pPr>
        <w:ind w:left="880" w:right="860" w:hanging="440"/>
        <w:spacing w:after="0" w:line="250" w:lineRule="auto"/>
        <w:tabs>
          <w:tab w:leader="none" w:pos="8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Registration Statement (Form S-8 No. 333-241400) pertaining to the 2018 Stock Option and Incentive Plan of AVROBIO, Inc.;</w:t>
      </w:r>
    </w:p>
    <w:p>
      <w:pPr>
        <w:spacing w:after="0" w:line="188"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color w:val="auto"/>
        </w:rPr>
        <w:t>of our report dated March 18, 2021, with respect to the consolidated financial statements of AVROBIO, Inc. included in this Annual Report (Form 10-K) of AVROBIO, Inc. for the year ended December 31, 2020.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Ernst </w:t>
      </w:r>
      <w:r>
        <w:rPr>
          <w:rFonts w:ascii="Arial" w:cs="Arial" w:eastAsia="Arial" w:hAnsi="Arial"/>
          <w:sz w:val="19"/>
          <w:szCs w:val="19"/>
          <w:color w:val="auto"/>
        </w:rPr>
        <w:t>&amp; Young LLP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18, 2021</w:t>
      </w:r>
    </w:p>
    <w:p>
      <w:pPr>
        <w:sectPr>
          <w:pgSz w:w="11900" w:h="16838" w:orient="portrait"/>
          <w:cols w:equalWidth="0" w:num="1">
            <w:col w:w="11240"/>
          </w:cols>
          <w:pgMar w:left="320" w:top="342"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17" w:lineRule="exact"/>
        <w:rPr>
          <w:sz w:val="20"/>
          <w:szCs w:val="20"/>
          <w:color w:val="auto"/>
        </w:rPr>
      </w:pPr>
    </w:p>
    <w:p>
      <w:pPr>
        <w:ind w:left="900" w:hanging="892"/>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AVROBIO, Inc.;</w:t>
      </w:r>
    </w:p>
    <w:p>
      <w:pPr>
        <w:spacing w:after="0" w:line="225" w:lineRule="exact"/>
        <w:rPr>
          <w:rFonts w:ascii="Arial" w:cs="Arial" w:eastAsia="Arial" w:hAnsi="Arial"/>
          <w:sz w:val="18"/>
          <w:szCs w:val="18"/>
          <w:color w:val="auto"/>
        </w:rPr>
      </w:pPr>
    </w:p>
    <w:p>
      <w:pPr>
        <w:jc w:val="both"/>
        <w:ind w:left="900" w:right="140" w:hanging="892"/>
        <w:spacing w:after="0" w:line="263"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00" w:right="100" w:hanging="892"/>
        <w:spacing w:after="0" w:line="308"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892"/>
        <w:spacing w:after="0" w:line="291"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800" w:right="60" w:hanging="901"/>
        <w:spacing w:after="0" w:line="286" w:lineRule="auto"/>
        <w:tabs>
          <w:tab w:leader="none" w:pos="180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800" w:right="380" w:hanging="901"/>
        <w:spacing w:after="0" w:line="286" w:lineRule="auto"/>
        <w:tabs>
          <w:tab w:leader="none" w:pos="180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800" w:right="20" w:hanging="901"/>
        <w:spacing w:after="0" w:line="263" w:lineRule="auto"/>
        <w:tabs>
          <w:tab w:leader="none" w:pos="18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800" w:right="120" w:hanging="901"/>
        <w:spacing w:after="0" w:line="286" w:lineRule="auto"/>
        <w:tabs>
          <w:tab w:leader="none" w:pos="180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900" w:right="20" w:hanging="892"/>
        <w:spacing w:after="0" w:line="342"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800" w:right="60" w:hanging="901"/>
        <w:spacing w:after="0" w:line="342" w:lineRule="auto"/>
        <w:tabs>
          <w:tab w:leader="none" w:pos="180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800" w:right="260" w:hanging="901"/>
        <w:spacing w:after="0" w:line="277" w:lineRule="auto"/>
        <w:tabs>
          <w:tab w:leader="none" w:pos="18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80" w:val="left"/>
          <w:tab w:leader="none" w:pos="8200" w:val="left"/>
        </w:tabs>
        <w:rPr>
          <w:sz w:val="20"/>
          <w:szCs w:val="20"/>
          <w:color w:val="auto"/>
        </w:rPr>
      </w:pPr>
      <w:r>
        <w:rPr>
          <w:rFonts w:ascii="Arial" w:cs="Arial" w:eastAsia="Arial" w:hAnsi="Arial"/>
          <w:sz w:val="18"/>
          <w:szCs w:val="18"/>
          <w:color w:val="auto"/>
        </w:rPr>
        <w:t>Date: March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Geoff MacKay</w:t>
      </w:r>
    </w:p>
    <w:p>
      <w:pPr>
        <w:spacing w:after="0" w:line="2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Erik Ostrowski, certify that:</w:t>
      </w:r>
    </w:p>
    <w:p>
      <w:pPr>
        <w:spacing w:after="0" w:line="117" w:lineRule="exact"/>
        <w:rPr>
          <w:sz w:val="20"/>
          <w:szCs w:val="20"/>
          <w:color w:val="auto"/>
        </w:rPr>
      </w:pPr>
    </w:p>
    <w:p>
      <w:pPr>
        <w:ind w:left="900" w:hanging="892"/>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AVROBIO, Inc.;</w:t>
      </w:r>
    </w:p>
    <w:p>
      <w:pPr>
        <w:spacing w:after="0" w:line="225" w:lineRule="exact"/>
        <w:rPr>
          <w:rFonts w:ascii="Arial" w:cs="Arial" w:eastAsia="Arial" w:hAnsi="Arial"/>
          <w:sz w:val="18"/>
          <w:szCs w:val="18"/>
          <w:color w:val="auto"/>
        </w:rPr>
      </w:pPr>
    </w:p>
    <w:p>
      <w:pPr>
        <w:jc w:val="both"/>
        <w:ind w:left="900" w:right="140" w:hanging="892"/>
        <w:spacing w:after="0" w:line="263"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00" w:right="100" w:hanging="892"/>
        <w:spacing w:after="0" w:line="308"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892"/>
        <w:spacing w:after="0" w:line="291"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800" w:right="60" w:hanging="901"/>
        <w:spacing w:after="0" w:line="286" w:lineRule="auto"/>
        <w:tabs>
          <w:tab w:leader="none" w:pos="180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800" w:right="380" w:hanging="901"/>
        <w:spacing w:after="0" w:line="286" w:lineRule="auto"/>
        <w:tabs>
          <w:tab w:leader="none" w:pos="180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800" w:right="20" w:hanging="901"/>
        <w:spacing w:after="0" w:line="263" w:lineRule="auto"/>
        <w:tabs>
          <w:tab w:leader="none" w:pos="18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800" w:right="120" w:hanging="901"/>
        <w:spacing w:after="0" w:line="286" w:lineRule="auto"/>
        <w:tabs>
          <w:tab w:leader="none" w:pos="180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900" w:right="20" w:hanging="892"/>
        <w:spacing w:after="0" w:line="342"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800" w:right="60" w:hanging="901"/>
        <w:spacing w:after="0" w:line="342" w:lineRule="auto"/>
        <w:tabs>
          <w:tab w:leader="none" w:pos="180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800" w:right="260" w:hanging="901"/>
        <w:spacing w:after="0" w:line="277" w:lineRule="auto"/>
        <w:tabs>
          <w:tab w:leader="none" w:pos="18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80" w:val="left"/>
          <w:tab w:leader="none" w:pos="8180" w:val="left"/>
        </w:tabs>
        <w:rPr>
          <w:sz w:val="20"/>
          <w:szCs w:val="20"/>
          <w:color w:val="auto"/>
        </w:rPr>
      </w:pPr>
      <w:r>
        <w:rPr>
          <w:rFonts w:ascii="Arial" w:cs="Arial" w:eastAsia="Arial" w:hAnsi="Arial"/>
          <w:sz w:val="18"/>
          <w:szCs w:val="18"/>
          <w:color w:val="auto"/>
        </w:rPr>
        <w:t>Date: March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Erik Ostrowski</w:t>
      </w:r>
    </w:p>
    <w:p>
      <w:pPr>
        <w:spacing w:after="0" w:line="2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Annual Report of AVROBIO, Inc. (the “Company”) on Form 10-K for the year ended December 31, 2020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184" w:lineRule="exact"/>
        <w:rPr>
          <w:sz w:val="20"/>
          <w:szCs w:val="20"/>
          <w:color w:val="auto"/>
        </w:rPr>
      </w:pPr>
    </w:p>
    <w:p>
      <w:pPr>
        <w:ind w:left="260" w:hanging="252"/>
        <w:spacing w:after="0"/>
        <w:tabs>
          <w:tab w:leader="none" w:pos="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50" w:lineRule="exact"/>
        <w:rPr>
          <w:sz w:val="20"/>
          <w:szCs w:val="20"/>
          <w:color w:val="auto"/>
        </w:rPr>
      </w:pPr>
    </w:p>
    <w:p>
      <w:pPr>
        <w:spacing w:after="0"/>
        <w:tabs>
          <w:tab w:leader="none" w:pos="6080" w:val="left"/>
          <w:tab w:leader="none" w:pos="8200" w:val="left"/>
        </w:tabs>
        <w:rPr>
          <w:sz w:val="20"/>
          <w:szCs w:val="20"/>
          <w:color w:val="auto"/>
        </w:rPr>
      </w:pPr>
      <w:r>
        <w:rPr>
          <w:rFonts w:ascii="Arial" w:cs="Arial" w:eastAsia="Arial" w:hAnsi="Arial"/>
          <w:sz w:val="18"/>
          <w:szCs w:val="18"/>
          <w:color w:val="auto"/>
        </w:rPr>
        <w:t>Date: March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Geoff MacKay</w:t>
      </w:r>
    </w:p>
    <w:p>
      <w:pPr>
        <w:spacing w:after="0" w:line="2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spacing w:after="0"/>
        <w:tabs>
          <w:tab w:leader="none" w:pos="6080" w:val="left"/>
          <w:tab w:leader="none" w:pos="8180" w:val="left"/>
        </w:tabs>
        <w:rPr>
          <w:sz w:val="20"/>
          <w:szCs w:val="20"/>
          <w:color w:val="auto"/>
        </w:rPr>
      </w:pPr>
      <w:r>
        <w:rPr>
          <w:rFonts w:ascii="Arial" w:cs="Arial" w:eastAsia="Arial" w:hAnsi="Arial"/>
          <w:sz w:val="18"/>
          <w:szCs w:val="18"/>
          <w:color w:val="auto"/>
        </w:rPr>
        <w:t>Date: March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Erik Ostrowski</w:t>
      </w:r>
    </w:p>
    <w:p>
      <w:pPr>
        <w:spacing w:after="0" w:line="2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1."/>
      <w:numFmt w:val="decimal"/>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1."/>
      <w:numFmt w:val="decimal"/>
      <w:start w:val="2"/>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
      <w:numFmt w:val="bullet"/>
      <w:start w:val="1"/>
    </w:lvl>
  </w:abstractNum>
  <w:abstractNum w:abstractNumId="47">
    <w:nsid w:val="60EF0119"/>
    <w:multiLevelType w:val="hybridMultilevel"/>
    <w:lvl w:ilvl="0">
      <w:lvlJc w:val="left"/>
      <w:lvlText w:val="•"/>
      <w:numFmt w:val="bullet"/>
      <w:start w:val="1"/>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
      <w:numFmt w:val="bullet"/>
      <w:start w:val="1"/>
    </w:lvl>
  </w:abstractNum>
  <w:abstractNum w:abstractNumId="52">
    <w:nsid w:val="5FB8370B"/>
    <w:multiLevelType w:val="hybridMultilevel"/>
    <w:lvl w:ilvl="0">
      <w:lvlJc w:val="left"/>
      <w:lvlText w:val="•"/>
      <w:numFmt w:val="bullet"/>
      <w:start w:val="1"/>
    </w:lvl>
  </w:abstractNum>
  <w:abstractNum w:abstractNumId="53">
    <w:nsid w:val="50801EE1"/>
    <w:multiLevelType w:val="hybridMultilevel"/>
    <w:lvl w:ilvl="0">
      <w:lvlJc w:val="left"/>
      <w:lvlText w:val="(%1)"/>
      <w:numFmt w:val="lowerRoman"/>
      <w:start w:val="4"/>
    </w:lvl>
    <w:lvl w:ilvl="1">
      <w:lvlJc w:val="left"/>
      <w:lvlText w:val="•"/>
      <w:numFmt w:val="bullet"/>
      <w:start w:val="1"/>
    </w:lvl>
  </w:abstractNum>
  <w:abstractNum w:abstractNumId="54">
    <w:nsid w:val="488AC1A"/>
    <w:multiLevelType w:val="hybridMultilevel"/>
    <w:lvl w:ilvl="0">
      <w:lvlJc w:val="left"/>
      <w:lvlText w:val="•"/>
      <w:numFmt w:val="bullet"/>
      <w:start w:val="1"/>
    </w:lvl>
  </w:abstractNum>
  <w:abstractNum w:abstractNumId="55">
    <w:nsid w:val="5FB8011C"/>
    <w:multiLevelType w:val="hybridMultilevel"/>
    <w:lvl w:ilvl="0">
      <w:lvlJc w:val="left"/>
      <w:lvlText w:val="(%1)"/>
      <w:numFmt w:val="decimal"/>
      <w:start w:val="3"/>
    </w:lvl>
  </w:abstractNum>
  <w:abstractNum w:abstractNumId="56">
    <w:nsid w:val="6AA78F7F"/>
    <w:multiLevelType w:val="hybridMultilevel"/>
    <w:lvl w:ilvl="0">
      <w:lvlJc w:val="left"/>
      <w:lvlText w:val="•"/>
      <w:numFmt w:val="bullet"/>
      <w:start w:val="1"/>
    </w:lvl>
  </w:abstractNum>
  <w:abstractNum w:abstractNumId="57">
    <w:nsid w:val="7672BD23"/>
    <w:multiLevelType w:val="hybridMultilevel"/>
    <w:lvl w:ilvl="0">
      <w:lvlJc w:val="left"/>
      <w:lvlText w:val="•"/>
      <w:numFmt w:val="bullet"/>
      <w:start w:val="1"/>
    </w:lvl>
  </w:abstractNum>
  <w:abstractNum w:abstractNumId="58">
    <w:nsid w:val="6FC75AF8"/>
    <w:multiLevelType w:val="hybridMultilevel"/>
    <w:lvl w:ilvl="0">
      <w:lvlJc w:val="left"/>
      <w:lvlText w:val="•"/>
      <w:numFmt w:val="bullet"/>
      <w:start w:val="1"/>
    </w:lvl>
  </w:abstractNum>
  <w:abstractNum w:abstractNumId="59">
    <w:nsid w:val="6A5F7029"/>
    <w:multiLevelType w:val="hybridMultilevel"/>
    <w:lvl w:ilvl="0">
      <w:lvlJc w:val="left"/>
      <w:lvlText w:val="•"/>
      <w:numFmt w:val="bullet"/>
      <w:start w:val="1"/>
    </w:lvl>
  </w:abstractNum>
  <w:abstractNum w:abstractNumId="60">
    <w:nsid w:val="7D5E18F8"/>
    <w:multiLevelType w:val="hybridMultilevel"/>
    <w:lvl w:ilvl="0">
      <w:lvlJc w:val="left"/>
      <w:lvlText w:val="(%1)"/>
      <w:numFmt w:val="decimal"/>
      <w:start w:val="1"/>
    </w:lvl>
  </w:abstractNum>
  <w:abstractNum w:abstractNumId="61">
    <w:nsid w:val="5F3534A4"/>
    <w:multiLevelType w:val="hybridMultilevel"/>
    <w:lvl w:ilvl="0">
      <w:lvlJc w:val="left"/>
      <w:lvlText w:val="•"/>
      <w:numFmt w:val="bullet"/>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
      <w:numFmt w:val="bullet"/>
      <w:start w:val="1"/>
    </w:lvl>
  </w:abstractNum>
  <w:abstractNum w:abstractNumId="64">
    <w:nsid w:val="555C55B5"/>
    <w:multiLevelType w:val="hybridMultilevel"/>
    <w:lvl w:ilvl="0">
      <w:lvlJc w:val="left"/>
      <w:lvlText w:val="(%1)"/>
      <w:numFmt w:val="lowerLetter"/>
      <w:start w:val="1"/>
    </w:lvl>
    <w:lvl w:ilvl="1">
      <w:lvlJc w:val="left"/>
      <w:lvlText w:val="%2."/>
      <w:numFmt w:val="decimal"/>
      <w:start w:val="1"/>
    </w:lvl>
  </w:abstractNum>
  <w:abstractNum w:abstractNumId="65">
    <w:nsid w:val="3FA62ACA"/>
    <w:multiLevelType w:val="hybridMultilevel"/>
    <w:lvl w:ilvl="0">
      <w:lvlJc w:val="left"/>
      <w:lvlText w:val="%1."/>
      <w:numFmt w:val="decimal"/>
      <w:start w:val="2"/>
    </w:lvl>
  </w:abstractNum>
  <w:abstractNum w:abstractNumId="66">
    <w:nsid w:val="14FCE74E"/>
    <w:multiLevelType w:val="hybridMultilevel"/>
    <w:lvl w:ilvl="0">
      <w:lvlJc w:val="left"/>
      <w:lvlText w:val="•"/>
      <w:numFmt w:val="bullet"/>
      <w:start w:val="1"/>
    </w:lvl>
  </w:abstractNum>
  <w:abstractNum w:abstractNumId="67">
    <w:nsid w:val="6A3DD3E8"/>
    <w:multiLevelType w:val="hybridMultilevel"/>
    <w:lvl w:ilvl="0">
      <w:lvlJc w:val="left"/>
      <w:lvlText w:val="%1."/>
      <w:numFmt w:val="decimal"/>
      <w:start w:val="15"/>
    </w:lvl>
  </w:abstractNum>
  <w:abstractNum w:abstractNumId="68">
    <w:nsid w:val="71C91298"/>
    <w:multiLevelType w:val="hybridMultilevel"/>
    <w:lvl w:ilvl="0">
      <w:lvlJc w:val="left"/>
      <w:lvlText w:val="%1"/>
      <w:numFmt w:val="decimal"/>
      <w:start w:val="104"/>
    </w:lvl>
  </w:abstractNum>
  <w:abstractNum w:abstractNumId="69">
    <w:nsid w:val="9DAF632"/>
    <w:multiLevelType w:val="hybridMultilevel"/>
    <w:lvl w:ilvl="0">
      <w:lvlJc w:val="left"/>
      <w:lvlText w:val="†"/>
      <w:numFmt w:val="bullet"/>
      <w:start w:val="1"/>
    </w:lvl>
  </w:abstractNum>
  <w:abstractNum w:abstractNumId="70">
    <w:nsid w:val="53299938"/>
    <w:multiLevelType w:val="hybridMultilevel"/>
    <w:lvl w:ilvl="0">
      <w:lvlJc w:val="left"/>
      <w:lvlText w:val="††"/>
      <w:numFmt w:val="bullet"/>
      <w:start w:val="1"/>
    </w:lvl>
  </w:abstractNum>
  <w:abstractNum w:abstractNumId="71">
    <w:nsid w:val="1FBFE8E0"/>
    <w:multiLevelType w:val="hybridMultilevel"/>
    <w:lvl w:ilvl="0">
      <w:lvlJc w:val="left"/>
      <w:lvlText w:val="#"/>
      <w:numFmt w:val="bullet"/>
      <w:start w:val="1"/>
    </w:lvl>
  </w:abstractNum>
  <w:abstractNum w:abstractNumId="72">
    <w:nsid w:val="5092CA79"/>
    <w:multiLevelType w:val="hybridMultilevel"/>
    <w:lvl w:ilvl="0">
      <w:lvlJc w:val="left"/>
      <w:lvlText w:val="%1."/>
      <w:numFmt w:val="decimal"/>
      <w:start w:val="1"/>
    </w:lvl>
    <w:lvl w:ilvl="1">
      <w:lvlJc w:val="left"/>
      <w:lvlText w:val="(%2)"/>
      <w:numFmt w:val="lowerLetter"/>
      <w:start w:val="1"/>
    </w:lvl>
  </w:abstractNum>
  <w:abstractNum w:abstractNumId="73">
    <w:nsid w:val="1D545C4D"/>
    <w:multiLevelType w:val="hybridMultilevel"/>
    <w:lvl w:ilvl="0">
      <w:lvlJc w:val="left"/>
      <w:lvlText w:val="%1"/>
      <w:numFmt w:val="decimal"/>
      <w:start w:val="1"/>
    </w:lvl>
    <w:lvl w:ilvl="1">
      <w:lvlJc w:val="left"/>
      <w:lvlText w:val="(%2)"/>
      <w:numFmt w:val="lowerLetter"/>
      <w:start w:val="2"/>
    </w:lvl>
  </w:abstractNum>
  <w:abstractNum w:abstractNumId="74">
    <w:nsid w:val="59ADEA3D"/>
    <w:multiLevelType w:val="hybridMultilevel"/>
    <w:lvl w:ilvl="0">
      <w:lvlJc w:val="left"/>
      <w:lvlText w:val="%1."/>
      <w:numFmt w:val="decimal"/>
      <w:start w:val="3"/>
    </w:lvl>
    <w:lvl w:ilvl="1">
      <w:lvlJc w:val="left"/>
      <w:lvlText w:val="(%2)"/>
      <w:numFmt w:val="lowerLetter"/>
      <w:start w:val="1"/>
    </w:lvl>
  </w:abstractNum>
  <w:abstractNum w:abstractNumId="75">
    <w:nsid w:val="288F1A34"/>
    <w:multiLevelType w:val="hybridMultilevel"/>
    <w:lvl w:ilvl="0">
      <w:lvlJc w:val="left"/>
      <w:lvlText w:val="(%1)"/>
      <w:numFmt w:val="lowerLetter"/>
      <w:start w:val="3"/>
    </w:lvl>
  </w:abstractNum>
  <w:abstractNum w:abstractNumId="76">
    <w:nsid w:val="2A155DB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6"/>
    </w:lvl>
  </w:abstractNum>
  <w:abstractNum w:abstractNumId="77">
    <w:nsid w:val="1D9F6E5F"/>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1"/>
    </w:lvl>
  </w:abstractNum>
  <w:abstractNum w:abstractNumId="78">
    <w:nsid w:val="97E1B4E"/>
    <w:multiLevelType w:val="hybridMultilevel"/>
    <w:lvl w:ilvl="0">
      <w:lvlJc w:val="left"/>
      <w:lvlText w:val="%1"/>
      <w:numFmt w:val="decimal"/>
      <w:start w:val="1"/>
    </w:lvl>
    <w:lvl w:ilvl="1">
      <w:lvlJc w:val="left"/>
      <w:lvlText w:val="(%2)"/>
      <w:numFmt w:val="lowerRoman"/>
      <w:start w:val="1"/>
    </w:lvl>
  </w:abstractNum>
  <w:abstractNum w:abstractNumId="79">
    <w:nsid w:val="51088277"/>
    <w:multiLevelType w:val="hybridMultilevel"/>
    <w:lvl w:ilvl="0">
      <w:lvlJc w:val="left"/>
      <w:lvlText w:val="%1."/>
      <w:numFmt w:val="decimal"/>
      <w:start w:val="5"/>
    </w:lvl>
    <w:lvl w:ilvl="1">
      <w:lvlJc w:val="left"/>
      <w:lvlText w:val="%2"/>
      <w:numFmt w:val="lowerRoman"/>
      <w:start w:val="1"/>
    </w:lvl>
  </w:abstractNum>
  <w:abstractNum w:abstractNumId="80">
    <w:nsid w:val="1CA0C5FA"/>
    <w:multiLevelType w:val="hybridMultilevel"/>
    <w:lvl w:ilvl="0">
      <w:lvlJc w:val="left"/>
      <w:lvlText w:val="(%1)"/>
      <w:numFmt w:val="lowerLetter"/>
      <w:start w:val="1"/>
    </w:lvl>
    <w:lvl w:ilvl="1">
      <w:lvlJc w:val="left"/>
      <w:lvlText w:val="(%2)"/>
      <w:numFmt w:val="lowerRoman"/>
      <w:start w:val="1"/>
    </w:lvl>
  </w:abstractNum>
  <w:abstractNum w:abstractNumId="81">
    <w:nsid w:val="53584BCB"/>
    <w:multiLevelType w:val="hybridMultilevel"/>
    <w:lvl w:ilvl="0">
      <w:lvlJc w:val="left"/>
      <w:lvlText w:val="%1"/>
      <w:numFmt w:val="lowerLetter"/>
      <w:start w:val="1"/>
    </w:lvl>
    <w:lvl w:ilvl="1">
      <w:lvlJc w:val="left"/>
      <w:lvlText w:val="(%2)"/>
      <w:numFmt w:val="lowerRoman"/>
      <w:start w:val="2"/>
    </w:lvl>
  </w:abstractNum>
  <w:abstractNum w:abstractNumId="82">
    <w:nsid w:val="415E286C"/>
    <w:multiLevelType w:val="hybridMultilevel"/>
    <w:lvl w:ilvl="0">
      <w:lvlJc w:val="left"/>
      <w:lvlText w:val="(%1)"/>
      <w:numFmt w:val="lowerLetter"/>
      <w:start w:val="3"/>
    </w:lvl>
    <w:lvl w:ilvl="1">
      <w:lvlJc w:val="left"/>
      <w:lvlText w:val="(%2)"/>
      <w:numFmt w:val="lowerRoman"/>
      <w:start w:val="1"/>
    </w:lvl>
  </w:abstractNum>
  <w:abstractNum w:abstractNumId="83">
    <w:nsid w:val="7C58FD05"/>
    <w:multiLevelType w:val="hybridMultilevel"/>
    <w:lvl w:ilvl="0">
      <w:lvlJc w:val="left"/>
      <w:lvlText w:val="(%1)"/>
      <w:numFmt w:val="lowerRoman"/>
      <w:start w:val="2"/>
    </w:lvl>
  </w:abstractNum>
  <w:abstractNum w:abstractNumId="84">
    <w:nsid w:val="23D86AAC"/>
    <w:multiLevelType w:val="hybridMultilevel"/>
    <w:lvl w:ilvl="0">
      <w:lvlJc w:val="left"/>
      <w:lvlText w:val="%1."/>
      <w:numFmt w:val="decimal"/>
      <w:start w:val="6"/>
    </w:lvl>
    <w:lvl w:ilvl="1">
      <w:lvlJc w:val="left"/>
      <w:lvlText w:val="(%2)"/>
      <w:numFmt w:val="lowerLetter"/>
      <w:start w:val="1"/>
    </w:lvl>
  </w:abstractNum>
  <w:abstractNum w:abstractNumId="85">
    <w:nsid w:val="45E6D486"/>
    <w:multiLevelType w:val="hybridMultilevel"/>
    <w:lvl w:ilvl="0">
      <w:lvlJc w:val="left"/>
      <w:lvlText w:val="%1"/>
      <w:numFmt w:val="decimal"/>
      <w:start w:val="1"/>
    </w:lvl>
    <w:lvl w:ilvl="1">
      <w:lvlJc w:val="left"/>
      <w:lvlText w:val="(%2)"/>
      <w:numFmt w:val="lowerLetter"/>
      <w:start w:val="2"/>
    </w:lvl>
  </w:abstractNum>
  <w:abstractNum w:abstractNumId="86">
    <w:nsid w:val="5C10FE21"/>
    <w:multiLevelType w:val="hybridMultilevel"/>
    <w:lvl w:ilvl="0">
      <w:lvlJc w:val="left"/>
      <w:lvlText w:val="%1."/>
      <w:numFmt w:val="decimal"/>
      <w:start w:val="7"/>
    </w:lvl>
    <w:lvl w:ilvl="1">
      <w:lvlJc w:val="left"/>
      <w:lvlText w:val="(%2)"/>
      <w:numFmt w:val="lowerLetter"/>
      <w:start w:val="1"/>
    </w:lvl>
  </w:abstractNum>
  <w:abstractNum w:abstractNumId="87">
    <w:nsid w:val="E7FFA2B"/>
    <w:multiLevelType w:val="hybridMultilevel"/>
    <w:lvl w:ilvl="0">
      <w:lvlJc w:val="left"/>
      <w:lvlText w:val="%1"/>
      <w:numFmt w:val="decimal"/>
      <w:start w:val="1"/>
    </w:lvl>
    <w:lvl w:ilvl="1">
      <w:lvlJc w:val="left"/>
      <w:lvlText w:val="(%2)"/>
      <w:numFmt w:val="lowerLetter"/>
      <w:start w:val="3"/>
    </w:lvl>
  </w:abstractNum>
  <w:abstractNum w:abstractNumId="88">
    <w:nsid w:val="3C5991AA"/>
    <w:multiLevelType w:val="hybridMultilevel"/>
    <w:lvl w:ilvl="0">
      <w:lvlJc w:val="left"/>
      <w:lvlText w:val="%1."/>
      <w:numFmt w:val="decimal"/>
      <w:start w:val="8"/>
    </w:lvl>
    <w:lvl w:ilvl="1">
      <w:lvlJc w:val="left"/>
      <w:lvlText w:val="%2"/>
      <w:numFmt w:val="lowerLetter"/>
      <w:start w:val="1"/>
    </w:lvl>
  </w:abstractNum>
  <w:abstractNum w:abstractNumId="89">
    <w:nsid w:val="4BD8591A"/>
    <w:multiLevelType w:val="hybridMultilevel"/>
    <w:lvl w:ilvl="0">
      <w:lvlJc w:val="left"/>
      <w:lvlText w:val="%1."/>
      <w:numFmt w:val="decimal"/>
      <w:start w:val="9"/>
    </w:lvl>
  </w:abstractNum>
  <w:abstractNum w:abstractNumId="90">
    <w:nsid w:val="78DF6A55"/>
    <w:multiLevelType w:val="hybridMultilevel"/>
    <w:lvl w:ilvl="0">
      <w:lvlJc w:val="left"/>
      <w:lvlText w:val="%1."/>
      <w:numFmt w:val="decimal"/>
      <w:start w:val="14"/>
    </w:lvl>
  </w:abstractNum>
  <w:abstractNum w:abstractNumId="91">
    <w:nsid w:val="39B7AAA2"/>
    <w:multiLevelType w:val="hybridMultilevel"/>
    <w:lvl w:ilvl="0">
      <w:lvlJc w:val="left"/>
      <w:lvlText w:val="%1."/>
      <w:numFmt w:val="decimal"/>
      <w:start w:val="1"/>
    </w:lvl>
    <w:lvl w:ilvl="1">
      <w:lvlJc w:val="left"/>
      <w:lvlText w:val="(%2)"/>
      <w:numFmt w:val="lowerLetter"/>
      <w:start w:val="1"/>
    </w:lvl>
  </w:abstractNum>
  <w:abstractNum w:abstractNumId="92">
    <w:nsid w:val="2B0D8DBE"/>
    <w:multiLevelType w:val="hybridMultilevel"/>
    <w:lvl w:ilvl="0">
      <w:lvlJc w:val="left"/>
      <w:lvlText w:val="%1."/>
      <w:numFmt w:val="decimal"/>
      <w:start w:val="2"/>
    </w:lvl>
    <w:lvl w:ilvl="1">
      <w:lvlJc w:val="left"/>
      <w:lvlText w:val="(%2)"/>
      <w:numFmt w:val="lowerLetter"/>
      <w:start w:val="1"/>
    </w:lvl>
  </w:abstractNum>
  <w:abstractNum w:abstractNumId="93">
    <w:nsid w:val="6C80EC70"/>
    <w:multiLevelType w:val="hybridMultilevel"/>
    <w:lvl w:ilvl="0">
      <w:lvlJc w:val="left"/>
      <w:lvlText w:val="%1"/>
      <w:numFmt w:val="decimal"/>
      <w:start w:val="1"/>
    </w:lvl>
    <w:lvl w:ilvl="1">
      <w:lvlJc w:val="left"/>
      <w:lvlText w:val="(%2)"/>
      <w:numFmt w:val="lowerLetter"/>
      <w:start w:val="7"/>
    </w:lvl>
  </w:abstractNum>
  <w:abstractNum w:abstractNumId="94">
    <w:nsid w:val="379E21B5"/>
    <w:multiLevelType w:val="hybridMultilevel"/>
    <w:lvl w:ilvl="0">
      <w:lvlJc w:val="left"/>
      <w:lvlText w:val="%1."/>
      <w:numFmt w:val="decimal"/>
      <w:start w:val="3"/>
    </w:lvl>
    <w:lvl w:ilvl="1">
      <w:lvlJc w:val="left"/>
      <w:lvlText w:val="(%2)"/>
      <w:numFmt w:val="lowerLetter"/>
      <w:start w:val="1"/>
    </w:lvl>
  </w:abstractNum>
  <w:abstractNum w:abstractNumId="95">
    <w:nsid w:val="69E373"/>
    <w:multiLevelType w:val="hybridMultilevel"/>
    <w:lvl w:ilvl="0">
      <w:lvlJc w:val="left"/>
      <w:lvlText w:val="(%1)"/>
      <w:numFmt w:val="lowerLetter"/>
      <w:start w:val="3"/>
    </w:lvl>
  </w:abstractNum>
  <w:abstractNum w:abstractNumId="96">
    <w:nsid w:val="2C27173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6"/>
    </w:lvl>
  </w:abstractNum>
  <w:abstractNum w:abstractNumId="97">
    <w:nsid w:val="4C9B0904"/>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1"/>
    </w:lvl>
  </w:abstractNum>
  <w:abstractNum w:abstractNumId="98">
    <w:nsid w:val="6AA7B75C"/>
    <w:multiLevelType w:val="hybridMultilevel"/>
    <w:lvl w:ilvl="0">
      <w:lvlJc w:val="left"/>
      <w:lvlText w:val="%1"/>
      <w:numFmt w:val="decimal"/>
      <w:start w:val="1"/>
    </w:lvl>
    <w:lvl w:ilvl="1">
      <w:lvlJc w:val="left"/>
      <w:lvlText w:val="(%2)"/>
      <w:numFmt w:val="lowerRoman"/>
      <w:start w:val="1"/>
    </w:lvl>
  </w:abstractNum>
  <w:abstractNum w:abstractNumId="99">
    <w:nsid w:val="1DF029D3"/>
    <w:multiLevelType w:val="hybridMultilevel"/>
    <w:lvl w:ilvl="0">
      <w:lvlJc w:val="left"/>
      <w:lvlText w:val="%1."/>
      <w:numFmt w:val="decimal"/>
      <w:start w:val="5"/>
    </w:lvl>
    <w:lvl w:ilvl="1">
      <w:lvlJc w:val="left"/>
      <w:lvlText w:val="%2"/>
      <w:numFmt w:val="lowerRoman"/>
      <w:start w:val="1"/>
    </w:lvl>
  </w:abstractNum>
  <w:abstractNum w:abstractNumId="100">
    <w:nsid w:val="5675FF36"/>
    <w:multiLevelType w:val="hybridMultilevel"/>
    <w:lvl w:ilvl="0">
      <w:lvlJc w:val="left"/>
      <w:lvlText w:val="(%1)"/>
      <w:numFmt w:val="lowerLetter"/>
      <w:start w:val="1"/>
    </w:lvl>
    <w:lvl w:ilvl="1">
      <w:lvlJc w:val="left"/>
      <w:lvlText w:val="(%2)"/>
      <w:numFmt w:val="lowerRoman"/>
      <w:start w:val="1"/>
    </w:lvl>
  </w:abstractNum>
  <w:abstractNum w:abstractNumId="101">
    <w:nsid w:val="3DD15094"/>
    <w:multiLevelType w:val="hybridMultilevel"/>
    <w:lvl w:ilvl="0">
      <w:lvlJc w:val="left"/>
      <w:lvlText w:val="(%1)"/>
      <w:numFmt w:val="lowerLetter"/>
      <w:start w:val="2"/>
    </w:lvl>
    <w:lvl w:ilvl="1">
      <w:lvlJc w:val="left"/>
      <w:lvlText w:val="(%2)"/>
      <w:numFmt w:val="lowerRoman"/>
      <w:start w:val="1"/>
    </w:lvl>
  </w:abstractNum>
  <w:abstractNum w:abstractNumId="102">
    <w:nsid w:val="3DB012B3"/>
    <w:multiLevelType w:val="hybridMultilevel"/>
    <w:lvl w:ilvl="0">
      <w:lvlJc w:val="left"/>
      <w:lvlText w:val="(%1)"/>
      <w:numFmt w:val="lowerLetter"/>
      <w:start w:val="3"/>
    </w:lvl>
    <w:lvl w:ilvl="1">
      <w:lvlJc w:val="left"/>
      <w:lvlText w:val="(%2)"/>
      <w:numFmt w:val="lowerRoman"/>
      <w:start w:val="1"/>
    </w:lvl>
  </w:abstractNum>
  <w:abstractNum w:abstractNumId="103">
    <w:nsid w:val="2708C9AF"/>
    <w:multiLevelType w:val="hybridMultilevel"/>
    <w:lvl w:ilvl="0">
      <w:lvlJc w:val="left"/>
      <w:lvlText w:val="%1."/>
      <w:numFmt w:val="decimal"/>
      <w:start w:val="6"/>
    </w:lvl>
    <w:lvl w:ilvl="1">
      <w:lvlJc w:val="left"/>
      <w:lvlText w:val="(%2)"/>
      <w:numFmt w:val="lowerLetter"/>
      <w:start w:val="1"/>
    </w:lvl>
  </w:abstractNum>
  <w:abstractNum w:abstractNumId="104">
    <w:nsid w:val="5B25ACE2"/>
    <w:multiLevelType w:val="hybridMultilevel"/>
    <w:lvl w:ilvl="0">
      <w:lvlJc w:val="left"/>
      <w:lvlText w:val="(%1)"/>
      <w:numFmt w:val="lowerLetter"/>
      <w:start w:val="2"/>
    </w:lvl>
  </w:abstractNum>
  <w:abstractNum w:abstractNumId="105">
    <w:nsid w:val="175DFCF0"/>
    <w:multiLevelType w:val="hybridMultilevel"/>
    <w:lvl w:ilvl="0">
      <w:lvlJc w:val="left"/>
      <w:lvlText w:val="%1."/>
      <w:numFmt w:val="decimal"/>
      <w:start w:val="7"/>
    </w:lvl>
    <w:lvl w:ilvl="1">
      <w:lvlJc w:val="left"/>
      <w:lvlText w:val="(%2)"/>
      <w:numFmt w:val="lowerLetter"/>
      <w:start w:val="1"/>
    </w:lvl>
  </w:abstractNum>
  <w:abstractNum w:abstractNumId="106">
    <w:nsid w:val="4F97E3E4"/>
    <w:multiLevelType w:val="hybridMultilevel"/>
    <w:lvl w:ilvl="0">
      <w:lvlJc w:val="left"/>
      <w:lvlText w:val="%1"/>
      <w:numFmt w:val="decimal"/>
      <w:start w:val="1"/>
    </w:lvl>
    <w:lvl w:ilvl="1">
      <w:lvlJc w:val="left"/>
      <w:lvlText w:val="(%2)"/>
      <w:numFmt w:val="lowerLetter"/>
      <w:start w:val="5"/>
    </w:lvl>
  </w:abstractNum>
  <w:abstractNum w:abstractNumId="107">
    <w:nsid w:val="53B0A9E"/>
    <w:multiLevelType w:val="hybridMultilevel"/>
    <w:lvl w:ilvl="0">
      <w:lvlJc w:val="left"/>
      <w:lvlText w:val="%1."/>
      <w:numFmt w:val="decimal"/>
      <w:start w:val="8"/>
    </w:lvl>
    <w:lvl w:ilvl="1">
      <w:lvlJc w:val="left"/>
      <w:lvlText w:val="%2"/>
      <w:numFmt w:val="lowerLetter"/>
      <w:start w:val="1"/>
    </w:lvl>
  </w:abstractNum>
  <w:abstractNum w:abstractNumId="108">
    <w:nsid w:val="34FD6B4F"/>
    <w:multiLevelType w:val="hybridMultilevel"/>
    <w:lvl w:ilvl="0">
      <w:lvlJc w:val="left"/>
      <w:lvlText w:val="%1."/>
      <w:numFmt w:val="decimal"/>
      <w:start w:val="11"/>
    </w:lvl>
  </w:abstractNum>
  <w:abstractNum w:abstractNumId="109">
    <w:nsid w:val="5915FF32"/>
    <w:multiLevelType w:val="hybridMultilevel"/>
    <w:lvl w:ilvl="0">
      <w:lvlJc w:val="left"/>
      <w:lvlText w:val="%1."/>
      <w:numFmt w:val="decimal"/>
      <w:start w:val="20"/>
    </w:lvl>
  </w:abstractNum>
  <w:abstractNum w:abstractNumId="110">
    <w:nsid w:val="56438D15"/>
    <w:multiLevelType w:val="hybridMultilevel"/>
    <w:lvl w:ilvl="0">
      <w:lvlJc w:val="left"/>
      <w:lvlText w:val="(%1)"/>
      <w:numFmt w:val="decimal"/>
      <w:start w:val="4"/>
    </w:lvl>
  </w:abstractNum>
  <w:abstractNum w:abstractNumId="111">
    <w:nsid w:val="519E3149"/>
    <w:multiLevelType w:val="hybridMultilevel"/>
    <w:lvl w:ilvl="0">
      <w:lvlJc w:val="left"/>
      <w:lvlText w:val="(%1)"/>
      <w:numFmt w:val="lowerLetter"/>
      <w:start w:val="1"/>
    </w:lvl>
    <w:lvl w:ilvl="1">
      <w:lvlJc w:val="left"/>
      <w:lvlText w:val="(%2)"/>
      <w:numFmt w:val="lowerRoman"/>
      <w:start w:val="1"/>
    </w:lvl>
  </w:abstractNum>
  <w:abstractNum w:abstractNumId="112">
    <w:nsid w:val="2C6E4AFD"/>
    <w:multiLevelType w:val="hybridMultilevel"/>
    <w:lvl w:ilvl="0">
      <w:lvlJc w:val="left"/>
      <w:lvlText w:val="(%1)"/>
      <w:numFmt w:val="lowerRoman"/>
      <w:start w:val="5"/>
    </w:lvl>
  </w:abstractNum>
  <w:abstractNum w:abstractNumId="113">
    <w:nsid w:val="17A1B582"/>
    <w:multiLevelType w:val="hybridMultilevel"/>
    <w:lvl w:ilvl="0">
      <w:lvlJc w:val="left"/>
      <w:lvlText w:val="(%1)"/>
      <w:numFmt w:val="lowerLetter"/>
      <w:start w:val="3"/>
    </w:lvl>
  </w:abstractNum>
  <w:abstractNum w:abstractNumId="114">
    <w:nsid w:val="4DF72E4E"/>
    <w:multiLevelType w:val="hybridMultilevel"/>
    <w:lvl w:ilvl="0">
      <w:lvlJc w:val="left"/>
      <w:lvlText w:val="(%1)"/>
      <w:numFmt w:val="lowerLetter"/>
      <w:start w:val="1"/>
    </w:lvl>
  </w:abstractNum>
  <w:abstractNum w:abstractNumId="115">
    <w:nsid w:val="5046B5A9"/>
    <w:multiLevelType w:val="hybridMultilevel"/>
    <w:lvl w:ilvl="0">
      <w:lvlJc w:val="left"/>
      <w:lvlText w:val="(%1)"/>
      <w:numFmt w:val="lowerLetter"/>
      <w:start w:val="1"/>
    </w:lvl>
  </w:abstractNum>
  <w:abstractNum w:abstractNumId="116">
    <w:nsid w:val="5D888A08"/>
    <w:multiLevelType w:val="hybridMultilevel"/>
    <w:lvl w:ilvl="0">
      <w:lvlJc w:val="left"/>
      <w:lvlText w:val="(%1)"/>
      <w:numFmt w:val="lowerLetter"/>
      <w:start w:val="2"/>
    </w:lvl>
  </w:abstractNum>
  <w:abstractNum w:abstractNumId="117">
    <w:nsid w:val="2A082C70"/>
    <w:multiLevelType w:val="hybridMultilevel"/>
    <w:lvl w:ilvl="0">
      <w:lvlJc w:val="left"/>
      <w:lvlText w:val="(%1)"/>
      <w:numFmt w:val="lowerLetter"/>
      <w:start w:val="3"/>
    </w:lvl>
    <w:lvl w:ilvl="1">
      <w:lvlJc w:val="left"/>
      <w:lvlText w:val="(%2)"/>
      <w:numFmt w:val="lowerRoman"/>
      <w:start w:val="1"/>
    </w:lvl>
  </w:abstractNum>
  <w:abstractNum w:abstractNumId="118">
    <w:nsid w:val="5EC6AFD4"/>
    <w:multiLevelType w:val="hybridMultilevel"/>
    <w:lvl w:ilvl="0">
      <w:lvlJc w:val="left"/>
      <w:lvlText w:val="(%1)"/>
      <w:numFmt w:val="lowerLetter"/>
      <w:start w:val="1"/>
    </w:lvl>
  </w:abstractNum>
  <w:abstractNum w:abstractNumId="119">
    <w:nsid w:val="19E21BB2"/>
    <w:multiLevelType w:val="hybridMultilevel"/>
    <w:lvl w:ilvl="0">
      <w:lvlJc w:val="left"/>
      <w:lvlText w:val="(%1)"/>
      <w:numFmt w:val="lowerLetter"/>
      <w:start w:val="1"/>
    </w:lvl>
  </w:abstractNum>
  <w:abstractNum w:abstractNumId="120">
    <w:nsid w:val="75E0858A"/>
    <w:multiLevelType w:val="hybridMultilevel"/>
    <w:lvl w:ilvl="0">
      <w:lvlJc w:val="left"/>
      <w:lvlText w:val="(%1)"/>
      <w:numFmt w:val="lowerLetter"/>
      <w:start w:val="3"/>
    </w:lvl>
  </w:abstractNum>
  <w:abstractNum w:abstractNumId="121">
    <w:nsid w:val="57A61A29"/>
    <w:multiLevelType w:val="hybridMultilevel"/>
    <w:lvl w:ilvl="0">
      <w:lvlJc w:val="left"/>
      <w:lvlText w:val="(%1)"/>
      <w:numFmt w:val="lowerLetter"/>
      <w:start w:val="1"/>
    </w:lvl>
  </w:abstractNum>
  <w:abstractNum w:abstractNumId="122">
    <w:nsid w:val="5399C654"/>
    <w:multiLevelType w:val="hybridMultilevel"/>
    <w:lvl w:ilvl="0">
      <w:lvlJc w:val="left"/>
      <w:lvlText w:val="(%1)"/>
      <w:numFmt w:val="lowerLetter"/>
      <w:start w:val="3"/>
    </w:lvl>
  </w:abstractNum>
  <w:abstractNum w:abstractNumId="123">
    <w:nsid w:val="20EE1348"/>
    <w:multiLevelType w:val="hybridMultilevel"/>
    <w:lvl w:ilvl="0">
      <w:lvlJc w:val="left"/>
      <w:lvlText w:val="(%1)"/>
      <w:numFmt w:val="lowerLetter"/>
      <w:start w:val="1"/>
    </w:lvl>
  </w:abstractNum>
  <w:abstractNum w:abstractNumId="124">
    <w:nsid w:val="4427069A"/>
    <w:multiLevelType w:val="hybridMultilevel"/>
    <w:lvl w:ilvl="0">
      <w:lvlJc w:val="left"/>
      <w:lvlText w:val="(%1)"/>
      <w:numFmt w:val="lowerLetter"/>
      <w:start w:val="2"/>
    </w:lvl>
  </w:abstractNum>
  <w:abstractNum w:abstractNumId="125">
    <w:nsid w:val="B37E80A"/>
    <w:multiLevelType w:val="hybridMultilevel"/>
    <w:lvl w:ilvl="0">
      <w:lvlJc w:val="left"/>
      <w:lvlText w:val="(%1)"/>
      <w:numFmt w:val="lowerLetter"/>
      <w:start w:val="1"/>
    </w:lvl>
  </w:abstractNum>
  <w:abstractNum w:abstractNumId="126">
    <w:nsid w:val="2157F6BC"/>
    <w:multiLevelType w:val="hybridMultilevel"/>
    <w:lvl w:ilvl="0">
      <w:lvlJc w:val="left"/>
      <w:lvlText w:val="(%1)"/>
      <w:numFmt w:val="lowerLetter"/>
      <w:start w:val="1"/>
    </w:lvl>
  </w:abstractNum>
  <w:abstractNum w:abstractNumId="127">
    <w:nsid w:val="704E1DD5"/>
    <w:multiLevelType w:val="hybridMultilevel"/>
    <w:lvl w:ilvl="0">
      <w:lvlJc w:val="left"/>
      <w:lvlText w:val="(%1)"/>
      <w:numFmt w:val="lowerLetter"/>
      <w:start w:val="2"/>
    </w:lvl>
  </w:abstractNum>
  <w:abstractNum w:abstractNumId="128">
    <w:nsid w:val="57D2F10E"/>
    <w:multiLevelType w:val="hybridMultilevel"/>
    <w:lvl w:ilvl="0">
      <w:lvlJc w:val="left"/>
      <w:lvlText w:val="(%1)"/>
      <w:numFmt w:val="lowerLetter"/>
      <w:start w:val="1"/>
    </w:lvl>
  </w:abstractNum>
  <w:abstractNum w:abstractNumId="129">
    <w:nsid w:val="BFFAE18"/>
    <w:multiLevelType w:val="hybridMultilevel"/>
    <w:lvl w:ilvl="0">
      <w:lvlJc w:val="left"/>
      <w:lvlText w:val="(%1)"/>
      <w:numFmt w:val="lowerRoman"/>
      <w:start w:val="1"/>
    </w:lvl>
  </w:abstractNum>
  <w:abstractNum w:abstractNumId="130">
    <w:nsid w:val="E3E47A8"/>
    <w:multiLevelType w:val="hybridMultilevel"/>
    <w:lvl w:ilvl="0">
      <w:lvlJc w:val="left"/>
      <w:lvlText w:val="(%1)"/>
      <w:numFmt w:val="lowerLetter"/>
      <w:start w:val="1"/>
    </w:lvl>
  </w:abstractNum>
  <w:abstractNum w:abstractNumId="131">
    <w:nsid w:val="2E48F044"/>
    <w:multiLevelType w:val="hybridMultilevel"/>
    <w:lvl w:ilvl="0">
      <w:lvlJc w:val="left"/>
      <w:lvlText w:val="(%1)"/>
      <w:numFmt w:val="lowerLetter"/>
      <w:start w:val="3"/>
    </w:lvl>
  </w:abstractNum>
  <w:abstractNum w:abstractNumId="132">
    <w:nsid w:val="49D0FEAC"/>
    <w:multiLevelType w:val="hybridMultilevel"/>
    <w:lvl w:ilvl="0">
      <w:lvlJc w:val="left"/>
      <w:lvlText w:val="(%1)"/>
      <w:numFmt w:val="lowerLetter"/>
      <w:start w:val="1"/>
    </w:lvl>
  </w:abstractNum>
  <w:abstractNum w:abstractNumId="133">
    <w:nsid w:val="4BEE5A5B"/>
    <w:multiLevelType w:val="hybridMultilevel"/>
    <w:lvl w:ilvl="0">
      <w:lvlJc w:val="left"/>
      <w:lvlText w:val="(%1)"/>
      <w:numFmt w:val="lowerRoman"/>
      <w:start w:val="2"/>
    </w:lvl>
    <w:lvl w:ilvl="1">
      <w:lvlJc w:val="left"/>
      <w:lvlText w:val="(%2)"/>
      <w:numFmt w:val="lowerLetter"/>
      <w:start w:val="2"/>
    </w:lvl>
  </w:abstractNum>
  <w:abstractNum w:abstractNumId="134">
    <w:nsid w:val="5551B9F3"/>
    <w:multiLevelType w:val="hybridMultilevel"/>
    <w:lvl w:ilvl="0">
      <w:lvlJc w:val="left"/>
      <w:lvlText w:val="(%1)"/>
      <w:numFmt w:val="lowerLetter"/>
      <w:start w:val="3"/>
    </w:lvl>
  </w:abstractNum>
  <w:abstractNum w:abstractNumId="135">
    <w:nsid w:val="24F6AB8E"/>
    <w:multiLevelType w:val="hybridMultilevel"/>
    <w:lvl w:ilvl="0">
      <w:lvlJc w:val="left"/>
      <w:lvlText w:val="(%1)"/>
      <w:numFmt w:val="lowerLetter"/>
      <w:start w:val="1"/>
    </w:lvl>
  </w:abstractNum>
  <w:abstractNum w:abstractNumId="136">
    <w:nsid w:val="634C574C"/>
    <w:multiLevelType w:val="hybridMultilevel"/>
    <w:lvl w:ilvl="0">
      <w:lvlJc w:val="left"/>
      <w:lvlText w:val="(%1)"/>
      <w:numFmt w:val="decimal"/>
      <w:start w:val="1"/>
    </w:lvl>
  </w:abstractNum>
  <w:abstractNum w:abstractNumId="137">
    <w:nsid w:val="24E99DD7"/>
    <w:multiLevelType w:val="hybridMultilevel"/>
    <w:lvl w:ilvl="0">
      <w:lvlJc w:val="left"/>
      <w:lvlText w:val="%1."/>
      <w:numFmt w:val="decimal"/>
      <w:start w:val="1"/>
    </w:lvl>
    <w:lvl w:ilvl="1">
      <w:lvlJc w:val="left"/>
      <w:lvlText w:val="(%2)"/>
      <w:numFmt w:val="lowerLetter"/>
      <w:start w:val="1"/>
    </w:lvl>
  </w:abstractNum>
  <w:abstractNum w:abstractNumId="138">
    <w:nsid w:val="2A31B62D"/>
    <w:multiLevelType w:val="hybridMultilevel"/>
    <w:lvl w:ilvl="0">
      <w:lvlJc w:val="left"/>
      <w:lvlText w:val="%1."/>
      <w:numFmt w:val="decimal"/>
      <w:start w:val="1"/>
    </w:lvl>
    <w:lvl w:ilvl="1">
      <w:lvlJc w:val="left"/>
      <w:lvlText w:val="(%2)"/>
      <w:numFmt w:val="lowerLetter"/>
      <w:start w:val="1"/>
    </w:lvl>
  </w:abstractNum>
  <w:abstractNum w:abstractNumId="139">
    <w:nsid w:val="1849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png"/><Relationship Id="rId231" Type="http://schemas.openxmlformats.org/officeDocument/2006/relationships/image" Target="media/image196.png"/><Relationship Id="rId232" Type="http://schemas.openxmlformats.org/officeDocument/2006/relationships/image" Target="media/image197.png"/><Relationship Id="rId233" Type="http://schemas.openxmlformats.org/officeDocument/2006/relationships/image" Target="media/image198.png"/><Relationship Id="rId234" Type="http://schemas.openxmlformats.org/officeDocument/2006/relationships/image" Target="media/image199.png"/><Relationship Id="rId235"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png"/><Relationship Id="rId244"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160" Type="http://schemas.openxmlformats.org/officeDocument/2006/relationships/hyperlink" Target="http://www.sec.gov/Archives/edgar/data/1681087/000119312518202460/d153924dex31.htm" TargetMode="External"/><Relationship Id="rId161" Type="http://schemas.openxmlformats.org/officeDocument/2006/relationships/hyperlink" Target="http://www.sec.gov/Archives/edgar/data/0001681087/000156459020051456/avro-ex32_90.htm" TargetMode="External"/><Relationship Id="rId162" Type="http://schemas.openxmlformats.org/officeDocument/2006/relationships/hyperlink" Target="http://www.sec.gov/Archives/edgar/data/1681087/000119312518202460/d153924dex32.htm" TargetMode="External"/><Relationship Id="rId163" Type="http://schemas.openxmlformats.org/officeDocument/2006/relationships/hyperlink" Target="http://www.sec.gov/Archives/edgar/data/1681087/000119312518188630/d562006dex41.htm" TargetMode="External"/><Relationship Id="rId164" Type="http://schemas.openxmlformats.org/officeDocument/2006/relationships/hyperlink" Target="http://www.sec.gov/Archives/edgar/data/1681087/000119312518175024/d562006dex42.htm" TargetMode="External"/><Relationship Id="rId165" Type="http://schemas.openxmlformats.org/officeDocument/2006/relationships/hyperlink" Target="http://www.sec.gov/Archives/edgar/data/0001681087/000156459020011144/avro-ex43_591.htm" TargetMode="External"/><Relationship Id="rId166" Type="http://schemas.openxmlformats.org/officeDocument/2006/relationships/hyperlink" Target="http://www.sec.gov/Archives/edgar/data/1681087/000119312518175024/d562006dex101.htm" TargetMode="External"/><Relationship Id="rId167" Type="http://schemas.openxmlformats.org/officeDocument/2006/relationships/hyperlink" Target="http://www.sec.gov/Archives/edgar/data/1681087/000119312518188630/d562006dex102.htm" TargetMode="External"/><Relationship Id="rId168" Type="http://schemas.openxmlformats.org/officeDocument/2006/relationships/hyperlink" Target="http://www.sec.gov/Archives/edgar/data/0001681087/000156459020028774/avro-ex101_30.htm" TargetMode="External"/><Relationship Id="rId169" Type="http://schemas.openxmlformats.org/officeDocument/2006/relationships/hyperlink" Target="http://www.sec.gov/Archives/edgar/data/1681087/000119312518188630/d562006dex103.htm" TargetMode="External"/><Relationship Id="rId170" Type="http://schemas.openxmlformats.org/officeDocument/2006/relationships/hyperlink" Target="http://www.sec.gov/Archives/edgar/data/1681087/000119312518188630/d562006dex104.htm" TargetMode="External"/><Relationship Id="rId171" Type="http://schemas.openxmlformats.org/officeDocument/2006/relationships/hyperlink" Target="http://www.sec.gov/Archives/edgar/data/1681087/000119312518181102/d562006dex105.htm" TargetMode="External"/><Relationship Id="rId172" Type="http://schemas.openxmlformats.org/officeDocument/2006/relationships/hyperlink" Target="http://www.sec.gov/Archives/edgar/data/1681087/000119312518188630/d562006dex106.htm" TargetMode="External"/><Relationship Id="rId173" Type="http://schemas.openxmlformats.org/officeDocument/2006/relationships/hyperlink" Target="http://www.sec.gov/Archives/edgar/data/0001681087/000156459020011144/avro-ex107_544.htm" TargetMode="External"/><Relationship Id="rId174" Type="http://schemas.openxmlformats.org/officeDocument/2006/relationships/hyperlink" Target="http://www.sec.gov/Archives/edgar/data/0001681087/000156459020011144/avro-ex108_543.htm" TargetMode="External"/><Relationship Id="rId175" Type="http://schemas.openxmlformats.org/officeDocument/2006/relationships/hyperlink" Target="http://www.sec.gov/Archives/edgar/data/1681087/000119312518175024/d562006dex107.htm" TargetMode="External"/><Relationship Id="rId178" Type="http://schemas.openxmlformats.org/officeDocument/2006/relationships/hyperlink" Target="http://www.sec.gov/Archives/edgar/data/1681087/000119312518175024/d562006dex108.htm" TargetMode="External"/><Relationship Id="rId179" Type="http://schemas.openxmlformats.org/officeDocument/2006/relationships/hyperlink" Target="http://www.sec.gov/Archives/edgar/data/1681087/000119312518188630/d562006dex109.htm" TargetMode="External"/><Relationship Id="rId180" Type="http://schemas.openxmlformats.org/officeDocument/2006/relationships/hyperlink" Target="http://www.sec.gov/Archives/edgar/data/1681087/000119312518356370/d676576dex101.htm" TargetMode="External"/><Relationship Id="rId181" Type="http://schemas.openxmlformats.org/officeDocument/2006/relationships/hyperlink" Target="http://www.sec.gov/Archives/edgar/data/1681087/000119312519085321/d677215dex1013.htm" TargetMode="External"/><Relationship Id="rId182" Type="http://schemas.openxmlformats.org/officeDocument/2006/relationships/hyperlink" Target="http://www.sec.gov/Archives/edgar/data/1681087/000119312519085321/d677215dex1014.htm" TargetMode="External"/><Relationship Id="rId183" Type="http://schemas.openxmlformats.org/officeDocument/2006/relationships/hyperlink" Target="http://www.sec.gov/Archives/edgar/data/1681087/000119312519085321/d677215dex1015.htm" TargetMode="External"/><Relationship Id="rId184" Type="http://schemas.openxmlformats.org/officeDocument/2006/relationships/hyperlink" Target="http://www.sec.gov/Archives/edgar/data/0001681087/000156459020037237/avro-ex102_230.htm" TargetMode="External"/><Relationship Id="rId185" Type="http://schemas.openxmlformats.org/officeDocument/2006/relationships/hyperlink" Target="http://www.sec.gov/Archives/edgar/data/0001681087/000156459020011144/avro-ex1016_545.htm" TargetMode="External"/><Relationship Id="rId186" Type="http://schemas.openxmlformats.org/officeDocument/2006/relationships/hyperlink" Target="http://www.sec.gov/Archives/edgar/data/1681087/000119312518188630/d562006dex1014.htm" TargetMode="External"/><Relationship Id="rId187" Type="http://schemas.openxmlformats.org/officeDocument/2006/relationships/hyperlink" Target="http://www.sec.gov/Archives/edgar/data/1681087/000119312518175024/d562006dex1012.htm" TargetMode="External"/><Relationship Id="rId188" Type="http://schemas.openxmlformats.org/officeDocument/2006/relationships/hyperlink" Target="http://www.sec.gov/Archives/edgar/data/1681087/000119312519320938/d842233dex991.htm" TargetMode="External"/><Relationship Id="rId189" Type="http://schemas.openxmlformats.org/officeDocument/2006/relationships/hyperlink" Target="http://www.sec.gov/Archives/edgar/data/1681087/000119312519085335/d72421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2021-03-18T15:54:57Z</dcterms:created>
  <dcterms:modified xsi:type="dcterms:W3CDTF">2021-03-18T15:54:57Z</dcterms:modified>
</cp:coreProperties>
</file>