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878972108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659"/>
        <w:spacing w:after="0"/>
        <w:rPr>
          <w:sz w:val="20"/>
          <w:szCs w:val="20"/>
          <w:color w:val="auto"/>
        </w:rPr>
      </w:pPr>
      <w:r>
        <w:rPr>
          <w:rFonts w:ascii="Times New Roman" w:cs="Times New Roman" w:eastAsia="Times New Roman" w:hAnsi="Times New Roman"/>
          <w:sz w:val="22"/>
          <w:szCs w:val="22"/>
          <w:color w:val="auto"/>
        </w:rPr>
        <w:t>490 Arsenal Way, Suite 210, Watertown, MA 02472</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920"/>
        <w:spacing w:after="0" w:line="286"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562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878972108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0980"/>
          </w:cols>
          <w:pgMar w:left="360" w:top="112" w:right="559" w:bottom="0" w:gutter="0" w:footer="0" w:header="0"/>
        </w:sectPr>
      </w:pPr>
    </w:p>
    <w:bookmarkStart w:id="4" w:name="page5"/>
    <w:bookmarkEnd w:id="4"/>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September 30, 2025, is incorporated by reference to items (5) - (9) and (11) of the cover page of the respective Reporting Person The amount beneficially owned by each Reporting Person is determined based on 18,712,128 Common Stock outstanding as of August 1, 2025, according to the issuer's 10-Q filed with the SEC on August 7, 2025. 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November 14, 2025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40"/>
      </w:cols>
      <w:pgMar w:left="360" w:top="13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2025-11-14T07:36:48Z</dcterms:created>
  <dcterms:modified xsi:type="dcterms:W3CDTF">2025-11-14T07:36:48Z</dcterms:modified>
</cp:coreProperties>
</file>