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878972108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Michael K. Bradshaw, Jr.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Nelson Mullins Riley &amp; Scarborough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 Constitution Avenue NW, Suite 900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(202) 689-2800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Fax: (202) 689-2860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22,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97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497955"/>
                    </a:xfrm>
                    <a:prstGeom prst="rect">
                      <a:avLst/>
                    </a:prstGeom>
                    <a:noFill/>
                  </pic:spPr>
                </pic:pic>
              </a:graphicData>
            </a:graphic>
          </wp:anchor>
        </w:drawing>
      </w:r>
    </w:p>
    <w:p>
      <w:pPr>
        <w:spacing w:after="0" w:line="263" w:lineRule="exact"/>
        <w:rPr>
          <w:sz w:val="20"/>
          <w:szCs w:val="20"/>
          <w:color w:val="auto"/>
        </w:rPr>
      </w:pPr>
    </w:p>
    <w:p>
      <w:pPr>
        <w:ind w:left="860" w:right="8260" w:hanging="789"/>
        <w:spacing w:after="0" w:line="42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Timothy A. Springer</w:t>
      </w:r>
    </w:p>
    <w:p>
      <w:pPr>
        <w:spacing w:after="0" w:line="1"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8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PF, WC</w:t>
            </w:r>
          </w:p>
        </w:tc>
      </w:tr>
      <w:tr>
        <w:trPr>
          <w:trHeight w:val="325"/>
        </w:trPr>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73"/>
              </w:rPr>
              <w:t>5.</w:t>
            </w:r>
          </w:p>
        </w:tc>
        <w:tc>
          <w:tcPr>
            <w:tcW w:w="6680" w:type="dxa"/>
            <w:vAlign w:val="bottom"/>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r>
    </w:tbl>
    <w:p>
      <w:pPr>
        <w:spacing w:after="0" w:line="200" w:lineRule="exact"/>
        <w:rPr>
          <w:sz w:val="20"/>
          <w:szCs w:val="20"/>
          <w:color w:val="auto"/>
        </w:rPr>
      </w:pPr>
    </w:p>
    <w:p>
      <w:pPr>
        <w:spacing w:after="0" w:line="267" w:lineRule="exact"/>
        <w:rPr>
          <w:sz w:val="20"/>
          <w:szCs w:val="20"/>
          <w:color w:val="auto"/>
        </w:rPr>
      </w:pPr>
    </w:p>
    <w:p>
      <w:pPr>
        <w:ind w:left="860" w:right="7740" w:hanging="789"/>
        <w:spacing w:after="0" w:line="42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1" w:lineRule="exact"/>
        <w:rPr>
          <w:rFonts w:ascii="Times New Roman" w:cs="Times New Roman" w:eastAsia="Times New Roman" w:hAnsi="Times New Roman"/>
          <w:sz w:val="18"/>
          <w:szCs w:val="18"/>
          <w:color w:val="auto"/>
        </w:rPr>
      </w:pPr>
    </w:p>
    <w:p>
      <w:pPr>
        <w:ind w:left="3100" w:hanging="775"/>
        <w:spacing w:after="0"/>
        <w:tabs>
          <w:tab w:leader="none" w:pos="3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Pr>
          <w:p>
            <w:pPr>
              <w:spacing w:after="0"/>
              <w:rPr>
                <w:sz w:val="20"/>
                <w:szCs w:val="20"/>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4,593,121 (1)</w:t>
            </w: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176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5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Shares</w:t>
            </w:r>
          </w:p>
        </w:tc>
        <w:tc>
          <w:tcPr>
            <w:tcW w:w="560" w:type="dxa"/>
            <w:vAlign w:val="bottom"/>
            <w:vMerge w:val="continue"/>
          </w:tcPr>
          <w:p>
            <w:pPr>
              <w:spacing w:after="0"/>
              <w:rPr>
                <w:sz w:val="18"/>
                <w:szCs w:val="18"/>
                <w:color w:val="auto"/>
              </w:rPr>
            </w:pPr>
          </w:p>
        </w:tc>
        <w:tc>
          <w:tcPr>
            <w:tcW w:w="8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Pr>
          <w:p>
            <w:pPr>
              <w:spacing w:after="0"/>
              <w:rPr>
                <w:sz w:val="18"/>
                <w:szCs w:val="18"/>
                <w:color w:val="auto"/>
              </w:rPr>
            </w:pP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4"/>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tcBorders>
          </w:tcPr>
          <w:p>
            <w:pPr>
              <w:spacing w:after="0"/>
              <w:rPr>
                <w:sz w:val="18"/>
                <w:szCs w:val="18"/>
                <w:color w:val="auto"/>
              </w:rPr>
            </w:pPr>
          </w:p>
        </w:tc>
        <w:tc>
          <w:tcPr>
            <w:tcW w:w="8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1760" w:type="dxa"/>
            <w:vAlign w:val="bottom"/>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9"/>
              </w:rPr>
              <w:t>Each</w:t>
            </w:r>
          </w:p>
        </w:tc>
        <w:tc>
          <w:tcPr>
            <w:tcW w:w="5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842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Reporting</w:t>
            </w:r>
          </w:p>
        </w:tc>
        <w:tc>
          <w:tcPr>
            <w:tcW w:w="5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Pr>
          <w:p>
            <w:pPr>
              <w:spacing w:after="0"/>
              <w:rPr>
                <w:sz w:val="18"/>
                <w:szCs w:val="18"/>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4,593,121 (1)</w:t>
            </w:r>
          </w:p>
        </w:tc>
        <w:tc>
          <w:tcPr>
            <w:tcW w:w="0" w:type="dxa"/>
            <w:vAlign w:val="bottom"/>
          </w:tcPr>
          <w:p>
            <w:pPr>
              <w:spacing w:after="0"/>
              <w:rPr>
                <w:sz w:val="1"/>
                <w:szCs w:val="1"/>
                <w:color w:val="auto"/>
              </w:rPr>
            </w:pPr>
          </w:p>
        </w:tc>
      </w:tr>
      <w:tr>
        <w:trPr>
          <w:trHeight w:val="79"/>
        </w:trPr>
        <w:tc>
          <w:tcPr>
            <w:tcW w:w="500" w:type="dxa"/>
            <w:vAlign w:val="bottom"/>
          </w:tcPr>
          <w:p>
            <w:pPr>
              <w:spacing w:after="0"/>
              <w:rPr>
                <w:sz w:val="6"/>
                <w:szCs w:val="6"/>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4"/>
              </w:rPr>
              <w:t>With</w:t>
            </w:r>
          </w:p>
        </w:tc>
        <w:tc>
          <w:tcPr>
            <w:tcW w:w="560" w:type="dxa"/>
            <w:vAlign w:val="bottom"/>
            <w:tcBorders>
              <w:bottom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4,593,121 (1)</w:t>
            </w:r>
          </w:p>
        </w:tc>
        <w:tc>
          <w:tcPr>
            <w:tcW w:w="5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740" w:type="dxa"/>
            <w:vAlign w:val="bottom"/>
            <w:gridSpan w:val="3"/>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860" w:hanging="789"/>
        <w:spacing w:after="0"/>
        <w:tabs>
          <w:tab w:leader="none" w:pos="8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 (2)</w:t>
      </w:r>
    </w:p>
    <w:p>
      <w:pPr>
        <w:spacing w:after="0" w:line="90" w:lineRule="exact"/>
        <w:rPr>
          <w:rFonts w:ascii="Times New Roman" w:cs="Times New Roman" w:eastAsia="Times New Roman" w:hAnsi="Times New Roman"/>
          <w:sz w:val="18"/>
          <w:szCs w:val="18"/>
          <w:color w:val="auto"/>
        </w:rPr>
      </w:pPr>
    </w:p>
    <w:p>
      <w:pPr>
        <w:ind w:left="860" w:right="7200" w:hanging="789"/>
        <w:spacing w:after="0" w:line="532" w:lineRule="auto"/>
        <w:tabs>
          <w:tab w:leader="none" w:pos="8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OO</w:t>
      </w:r>
    </w:p>
    <w:p>
      <w:pPr>
        <w:ind w:left="340" w:right="30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4,096,764 shares of common stock held directly by Dr. Springer, (ii) 310,223 shares of common stock held by TAS Partners LLC, of which Dr. Springer is manager and has sole voting and dispositive control, and (iii) 186,134 shares of common stock held directly by Dr. Lu.</w:t>
      </w:r>
    </w:p>
    <w:p>
      <w:pPr>
        <w:spacing w:after="0" w:line="161"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reported in row 13 is calculated in accordance with Rule 13d-3 based on the aggregate number of shares of common stock beneficially owned by the Reporting Person and an aggregate of 14,734,479 shares of common stock outstanding as of August 9, 2024, as reported on the Issuer’s Quarterly Report on Form 10-Q, dated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97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497955"/>
                    </a:xfrm>
                    <a:prstGeom prst="rect">
                      <a:avLst/>
                    </a:prstGeom>
                    <a:noFill/>
                  </pic:spPr>
                </pic:pic>
              </a:graphicData>
            </a:graphic>
          </wp:anchor>
        </w:drawing>
      </w:r>
    </w:p>
    <w:p>
      <w:pPr>
        <w:spacing w:after="0" w:line="263" w:lineRule="exact"/>
        <w:rPr>
          <w:sz w:val="20"/>
          <w:szCs w:val="20"/>
          <w:color w:val="auto"/>
        </w:rPr>
      </w:pPr>
    </w:p>
    <w:p>
      <w:pPr>
        <w:ind w:left="860" w:right="8260" w:hanging="789"/>
        <w:spacing w:after="0" w:line="422"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TAS Partners LLC</w:t>
      </w:r>
    </w:p>
    <w:p>
      <w:pPr>
        <w:spacing w:after="0" w:line="1"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8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WC</w:t>
            </w:r>
          </w:p>
        </w:tc>
      </w:tr>
      <w:tr>
        <w:trPr>
          <w:trHeight w:val="325"/>
        </w:trPr>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73"/>
              </w:rPr>
              <w:t>5.</w:t>
            </w:r>
          </w:p>
        </w:tc>
        <w:tc>
          <w:tcPr>
            <w:tcW w:w="6680" w:type="dxa"/>
            <w:vAlign w:val="bottom"/>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r>
    </w:tbl>
    <w:p>
      <w:pPr>
        <w:spacing w:after="0" w:line="200" w:lineRule="exact"/>
        <w:rPr>
          <w:sz w:val="20"/>
          <w:szCs w:val="20"/>
          <w:color w:val="auto"/>
        </w:rPr>
      </w:pPr>
    </w:p>
    <w:p>
      <w:pPr>
        <w:spacing w:after="0" w:line="267" w:lineRule="exact"/>
        <w:rPr>
          <w:sz w:val="20"/>
          <w:szCs w:val="20"/>
          <w:color w:val="auto"/>
        </w:rPr>
      </w:pPr>
    </w:p>
    <w:p>
      <w:pPr>
        <w:ind w:left="860" w:right="7740" w:hanging="789"/>
        <w:spacing w:after="0" w:line="42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3100" w:hanging="775"/>
        <w:spacing w:after="0"/>
        <w:tabs>
          <w:tab w:leader="none" w:pos="31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Pr>
          <w:p>
            <w:pPr>
              <w:spacing w:after="0"/>
              <w:rPr>
                <w:sz w:val="20"/>
                <w:szCs w:val="20"/>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310,223 (1)</w:t>
            </w: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176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5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Shares</w:t>
            </w:r>
          </w:p>
        </w:tc>
        <w:tc>
          <w:tcPr>
            <w:tcW w:w="560" w:type="dxa"/>
            <w:vAlign w:val="bottom"/>
            <w:vMerge w:val="continue"/>
          </w:tcPr>
          <w:p>
            <w:pPr>
              <w:spacing w:after="0"/>
              <w:rPr>
                <w:sz w:val="18"/>
                <w:szCs w:val="18"/>
                <w:color w:val="auto"/>
              </w:rPr>
            </w:pPr>
          </w:p>
        </w:tc>
        <w:tc>
          <w:tcPr>
            <w:tcW w:w="8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Pr>
          <w:p>
            <w:pPr>
              <w:spacing w:after="0"/>
              <w:rPr>
                <w:sz w:val="18"/>
                <w:szCs w:val="18"/>
                <w:color w:val="auto"/>
              </w:rPr>
            </w:pP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4"/>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tcBorders>
          </w:tcPr>
          <w:p>
            <w:pPr>
              <w:spacing w:after="0"/>
              <w:rPr>
                <w:sz w:val="18"/>
                <w:szCs w:val="18"/>
                <w:color w:val="auto"/>
              </w:rPr>
            </w:pPr>
          </w:p>
        </w:tc>
        <w:tc>
          <w:tcPr>
            <w:tcW w:w="8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1760" w:type="dxa"/>
            <w:vAlign w:val="bottom"/>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9"/>
              </w:rPr>
              <w:t>Each</w:t>
            </w:r>
          </w:p>
        </w:tc>
        <w:tc>
          <w:tcPr>
            <w:tcW w:w="5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842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Reporting</w:t>
            </w:r>
          </w:p>
        </w:tc>
        <w:tc>
          <w:tcPr>
            <w:tcW w:w="5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Pr>
          <w:p>
            <w:pPr>
              <w:spacing w:after="0"/>
              <w:rPr>
                <w:sz w:val="18"/>
                <w:szCs w:val="18"/>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310,223 (1)</w:t>
            </w:r>
          </w:p>
        </w:tc>
        <w:tc>
          <w:tcPr>
            <w:tcW w:w="0" w:type="dxa"/>
            <w:vAlign w:val="bottom"/>
          </w:tcPr>
          <w:p>
            <w:pPr>
              <w:spacing w:after="0"/>
              <w:rPr>
                <w:sz w:val="1"/>
                <w:szCs w:val="1"/>
                <w:color w:val="auto"/>
              </w:rPr>
            </w:pPr>
          </w:p>
        </w:tc>
      </w:tr>
      <w:tr>
        <w:trPr>
          <w:trHeight w:val="79"/>
        </w:trPr>
        <w:tc>
          <w:tcPr>
            <w:tcW w:w="500" w:type="dxa"/>
            <w:vAlign w:val="bottom"/>
          </w:tcPr>
          <w:p>
            <w:pPr>
              <w:spacing w:after="0"/>
              <w:rPr>
                <w:sz w:val="6"/>
                <w:szCs w:val="6"/>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4"/>
              </w:rPr>
              <w:t>With</w:t>
            </w:r>
          </w:p>
        </w:tc>
        <w:tc>
          <w:tcPr>
            <w:tcW w:w="560" w:type="dxa"/>
            <w:vAlign w:val="bottom"/>
            <w:tcBorders>
              <w:bottom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310,223 (1)</w:t>
            </w:r>
          </w:p>
        </w:tc>
        <w:tc>
          <w:tcPr>
            <w:tcW w:w="5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740" w:type="dxa"/>
            <w:vAlign w:val="bottom"/>
            <w:gridSpan w:val="3"/>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860" w:hanging="789"/>
        <w:spacing w:after="0"/>
        <w:tabs>
          <w:tab w:leader="none" w:pos="8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(2)</w:t>
      </w:r>
    </w:p>
    <w:p>
      <w:pPr>
        <w:spacing w:after="0" w:line="90"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310,223 shares of common stock held directly by TAS Partners LLC.</w:t>
      </w:r>
    </w:p>
    <w:p>
      <w:pPr>
        <w:spacing w:after="0" w:line="22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reported in row 13 is calculated in accordance with Rule 13d-3 based on the aggregate number of shares of common stock beneficially owned by the Reporting Person and an aggregate of 14,734,479 shares of common stock outstanding as of August 9, 2024, as reported on the Issuer’s Quarterly Report on Form 10-Q, dated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97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497955"/>
                    </a:xfrm>
                    <a:prstGeom prst="rect">
                      <a:avLst/>
                    </a:prstGeom>
                    <a:noFill/>
                  </pic:spPr>
                </pic:pic>
              </a:graphicData>
            </a:graphic>
          </wp:anchor>
        </w:drawing>
      </w:r>
    </w:p>
    <w:p>
      <w:pPr>
        <w:spacing w:after="0" w:line="263" w:lineRule="exact"/>
        <w:rPr>
          <w:sz w:val="20"/>
          <w:szCs w:val="20"/>
          <w:color w:val="auto"/>
        </w:rPr>
      </w:pPr>
    </w:p>
    <w:p>
      <w:pPr>
        <w:ind w:left="860" w:right="8260" w:hanging="789"/>
        <w:spacing w:after="0" w:line="422"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Chafen Lu</w:t>
      </w:r>
    </w:p>
    <w:p>
      <w:pPr>
        <w:spacing w:after="0" w:line="1"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8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30"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PF, WC</w:t>
            </w:r>
          </w:p>
        </w:tc>
      </w:tr>
      <w:tr>
        <w:trPr>
          <w:trHeight w:val="325"/>
        </w:trPr>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73"/>
              </w:rPr>
              <w:t>5.</w:t>
            </w:r>
          </w:p>
        </w:tc>
        <w:tc>
          <w:tcPr>
            <w:tcW w:w="6680" w:type="dxa"/>
            <w:vAlign w:val="bottom"/>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r>
    </w:tbl>
    <w:p>
      <w:pPr>
        <w:spacing w:after="0" w:line="200" w:lineRule="exact"/>
        <w:rPr>
          <w:sz w:val="20"/>
          <w:szCs w:val="20"/>
          <w:color w:val="auto"/>
        </w:rPr>
      </w:pPr>
    </w:p>
    <w:p>
      <w:pPr>
        <w:spacing w:after="0" w:line="267" w:lineRule="exact"/>
        <w:rPr>
          <w:sz w:val="20"/>
          <w:szCs w:val="20"/>
          <w:color w:val="auto"/>
        </w:rPr>
      </w:pPr>
    </w:p>
    <w:p>
      <w:pPr>
        <w:ind w:left="860" w:right="7740" w:hanging="789"/>
        <w:spacing w:after="0" w:line="422"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1" w:lineRule="exact"/>
        <w:rPr>
          <w:rFonts w:ascii="Times New Roman" w:cs="Times New Roman" w:eastAsia="Times New Roman" w:hAnsi="Times New Roman"/>
          <w:sz w:val="18"/>
          <w:szCs w:val="18"/>
          <w:color w:val="auto"/>
        </w:rPr>
      </w:pPr>
    </w:p>
    <w:p>
      <w:pPr>
        <w:ind w:left="3100" w:hanging="775"/>
        <w:spacing w:after="0"/>
        <w:tabs>
          <w:tab w:leader="none" w:pos="31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Pr>
          <w:p>
            <w:pPr>
              <w:spacing w:after="0"/>
              <w:rPr>
                <w:sz w:val="20"/>
                <w:szCs w:val="20"/>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186,134 (1)</w:t>
            </w: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1760" w:type="dxa"/>
            <w:vAlign w:val="bottom"/>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5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Shares</w:t>
            </w:r>
          </w:p>
        </w:tc>
        <w:tc>
          <w:tcPr>
            <w:tcW w:w="560" w:type="dxa"/>
            <w:vAlign w:val="bottom"/>
            <w:vMerge w:val="continue"/>
          </w:tcPr>
          <w:p>
            <w:pPr>
              <w:spacing w:after="0"/>
              <w:rPr>
                <w:sz w:val="18"/>
                <w:szCs w:val="18"/>
                <w:color w:val="auto"/>
              </w:rPr>
            </w:pPr>
          </w:p>
        </w:tc>
        <w:tc>
          <w:tcPr>
            <w:tcW w:w="8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Pr>
          <w:p>
            <w:pPr>
              <w:spacing w:after="0"/>
              <w:rPr>
                <w:sz w:val="18"/>
                <w:szCs w:val="18"/>
                <w:color w:val="auto"/>
              </w:rPr>
            </w:pP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4"/>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tcBorders>
          </w:tcPr>
          <w:p>
            <w:pPr>
              <w:spacing w:after="0"/>
              <w:rPr>
                <w:sz w:val="18"/>
                <w:szCs w:val="18"/>
                <w:color w:val="auto"/>
              </w:rPr>
            </w:pPr>
          </w:p>
        </w:tc>
        <w:tc>
          <w:tcPr>
            <w:tcW w:w="8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1760" w:type="dxa"/>
            <w:vAlign w:val="bottom"/>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9"/>
              </w:rPr>
              <w:t>Each</w:t>
            </w:r>
          </w:p>
        </w:tc>
        <w:tc>
          <w:tcPr>
            <w:tcW w:w="5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842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Reporting</w:t>
            </w:r>
          </w:p>
        </w:tc>
        <w:tc>
          <w:tcPr>
            <w:tcW w:w="5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Pr>
          <w:p>
            <w:pPr>
              <w:spacing w:after="0"/>
              <w:rPr>
                <w:sz w:val="18"/>
                <w:szCs w:val="18"/>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186,134 (1)</w:t>
            </w:r>
          </w:p>
        </w:tc>
        <w:tc>
          <w:tcPr>
            <w:tcW w:w="0" w:type="dxa"/>
            <w:vAlign w:val="bottom"/>
          </w:tcPr>
          <w:p>
            <w:pPr>
              <w:spacing w:after="0"/>
              <w:rPr>
                <w:sz w:val="1"/>
                <w:szCs w:val="1"/>
                <w:color w:val="auto"/>
              </w:rPr>
            </w:pPr>
          </w:p>
        </w:tc>
      </w:tr>
      <w:tr>
        <w:trPr>
          <w:trHeight w:val="79"/>
        </w:trPr>
        <w:tc>
          <w:tcPr>
            <w:tcW w:w="500" w:type="dxa"/>
            <w:vAlign w:val="bottom"/>
          </w:tcPr>
          <w:p>
            <w:pPr>
              <w:spacing w:after="0"/>
              <w:rPr>
                <w:sz w:val="6"/>
                <w:szCs w:val="6"/>
                <w:color w:val="auto"/>
              </w:rPr>
            </w:pPr>
          </w:p>
        </w:tc>
        <w:tc>
          <w:tcPr>
            <w:tcW w:w="1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4"/>
              </w:rPr>
              <w:t>With</w:t>
            </w:r>
          </w:p>
        </w:tc>
        <w:tc>
          <w:tcPr>
            <w:tcW w:w="560" w:type="dxa"/>
            <w:vAlign w:val="bottom"/>
            <w:tcBorders>
              <w:bottom w:val="single" w:sz="8" w:color="auto"/>
            </w:tcBorders>
          </w:tcPr>
          <w:p>
            <w:pPr>
              <w:spacing w:after="0"/>
              <w:rPr>
                <w:sz w:val="6"/>
                <w:szCs w:val="6"/>
                <w:color w:val="auto"/>
              </w:rPr>
            </w:pPr>
          </w:p>
        </w:tc>
        <w:tc>
          <w:tcPr>
            <w:tcW w:w="8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8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186,134 (1)</w:t>
            </w:r>
          </w:p>
        </w:tc>
        <w:tc>
          <w:tcPr>
            <w:tcW w:w="5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740" w:type="dxa"/>
            <w:vAlign w:val="bottom"/>
            <w:gridSpan w:val="3"/>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860" w:hanging="789"/>
        <w:spacing w:after="0"/>
        <w:tabs>
          <w:tab w:leader="none" w:pos="8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(2)</w:t>
      </w:r>
    </w:p>
    <w:p>
      <w:pPr>
        <w:spacing w:after="0" w:line="90" w:lineRule="exact"/>
        <w:rPr>
          <w:rFonts w:ascii="Times New Roman" w:cs="Times New Roman" w:eastAsia="Times New Roman" w:hAnsi="Times New Roman"/>
          <w:sz w:val="18"/>
          <w:szCs w:val="18"/>
          <w:color w:val="auto"/>
        </w:rPr>
      </w:pPr>
    </w:p>
    <w:p>
      <w:pPr>
        <w:ind w:left="860" w:hanging="789"/>
        <w:spacing w:after="0"/>
        <w:tabs>
          <w:tab w:leader="none" w:pos="8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186,134 shares of common stock held directly by Dr. Lu.</w:t>
      </w:r>
    </w:p>
    <w:p>
      <w:pPr>
        <w:spacing w:after="0" w:line="22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reported in row 13 is calculated in accordance with Rule 13d-3 based on the aggregate number of shares of common stock beneficially owned by the Reporting Person and an aggregate of 14,734,479 shares of common stock outstanding as of August 9, 2024, as reported on the Issuer’s Quarterly Report on Form 10-Q, dated August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5 of 7 Pages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u w:val="single" w:color="auto"/>
          <w:color w:val="auto"/>
        </w:rPr>
        <w:t>Security and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Amendment No. 2 to the statement on Schedule 13D (this “Statement”) with respect to the shares of common stock, par value $0.0001 per share (the “Shares”), of Tectonic Therapeutic, Inc., a Delaware corporation (the “Issuer”), originally filed by Timothy A. Springer (“Dr. Springer”) and TAS Partners LLC (“TAS”) on June 26, 2024, and amended by Amendment No. 1 to the statement on Schedule 13D to add Chafen Lu (“Dr. Lu” and, collectively with Dr. Springer and TAS, the “Reporting Persons”) as a reporting person on September 26, 2024 (such statement and amendments, as further amended herein, the “Schedule 13D”), amends the Schedule 13D as set forth below.</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capitalized terms contained herein but not otherwise defined shall have the meanings ascribed to such terms in the Schedule 13D. Except as specifically amended by this Amendment No. 2, items in the Schedule 13D are unchanged.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to be supplemented by the following:</w:t>
      </w:r>
    </w:p>
    <w:p>
      <w:pPr>
        <w:spacing w:after="0" w:line="225"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On October 22, 2024, Dr. Springer entered into a Stock Purchase Agreement with Atlas Venture Fund X, L.P. (“Atlas”), pursuant to which Dr. Springer purchased 300,000 Shares from Atlas at a purchase price of $33.59 per share, or $10,077,000 in the aggregate, payable in cash. Dr. Springer represented that he was an “accredited investor,” as defined in Regulation D, and was acquiring such Shares for investment only and not with a view towards, or for resale in connection with, the public sale or distribution thereof. The closing occurred on October 24, 2024.</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summary of the Stock Purchase Agreement does not purport to be complete and is qualified in its entirety by reference to the full text of the Stock Purchase Agreement, a copy of which is filed as Exhibit 99.6 to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6 of 7 Pages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u w:val="single" w:color="auto"/>
          <w:color w:val="auto"/>
        </w:rPr>
        <w:t>Interest in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3 and the cover pages of this Statement is incorporated herein by reference into this Item 5.</w:t>
      </w:r>
    </w:p>
    <w:p>
      <w:pPr>
        <w:spacing w:after="0" w:line="225" w:lineRule="exact"/>
        <w:rPr>
          <w:sz w:val="20"/>
          <w:szCs w:val="20"/>
          <w:color w:val="auto"/>
        </w:rPr>
      </w:pPr>
    </w:p>
    <w:p>
      <w:pPr>
        <w:ind w:firstLine="8"/>
        <w:spacing w:after="0" w:line="266" w:lineRule="auto"/>
        <w:tabs>
          <w:tab w:leader="none" w:pos="2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of beneficial ownership reported in this Item 5, and on each Reporting Person’s cover page to this Schedule 13D, are based on a total of 14,734,479 Shares issued and outstanding as of August 9, 2024, as reported on the Issuer’s Quarterly Report on Form 10-Q, dated August 14, 2024. The number of Shares beneficially owned by each Reporting Person has not changed since the date of event that requires filing of this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in the aggregate, beneficially own 4,593,121 Shares, representing approximately 31.2% of such class of securities.</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Dr. Springer is the beneficial owner of a total of 4,593,121 Shares, representing approximately 31.2% of the outstanding Shares and consisting of (i) 4,096,764 Shares held directly, (ii) 310,223 Shares held by TAS and (iii) 186,134 Shares held by Dr. Lu.</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TAS is the beneficial owner of a total of 310,223 Shares, representing approximately 2.1% of the outstanding Shares. TAS holds all such Shares directly.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Springer is the sole managing member of TAS.</w:t>
      </w:r>
    </w:p>
    <w:p>
      <w:pPr>
        <w:spacing w:after="0" w:line="2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Dr. Lu is the beneficial owner of a total of 186,134 Shares, representing approximately 1.3% of the outstanding Shares. Dr. Lu holds all such Shares directly. Dr. Lu is the spouse of Dr. Springer.</w:t>
      </w:r>
    </w:p>
    <w:p>
      <w:pPr>
        <w:spacing w:after="0" w:line="162" w:lineRule="exact"/>
        <w:rPr>
          <w:sz w:val="20"/>
          <w:szCs w:val="20"/>
          <w:color w:val="auto"/>
        </w:rPr>
      </w:pPr>
    </w:p>
    <w:p>
      <w:pPr>
        <w:ind w:right="240" w:firstLine="8"/>
        <w:spacing w:after="0" w:line="266"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pacing w:after="0" w:line="175" w:lineRule="exact"/>
        <w:rPr>
          <w:rFonts w:ascii="Times New Roman" w:cs="Times New Roman" w:eastAsia="Times New Roman" w:hAnsi="Times New Roman"/>
          <w:sz w:val="18"/>
          <w:szCs w:val="18"/>
          <w:color w:val="auto"/>
        </w:rPr>
      </w:pPr>
    </w:p>
    <w:p>
      <w:pPr>
        <w:ind w:right="560" w:firstLine="8"/>
        <w:spacing w:after="0" w:line="282"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not engaged in any transactions with respect to the Shares during the 60 days before the date of this filing, except as described in Item 3 above.</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the Shares.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20"/>
        <w:spacing w:after="0"/>
        <w:tabs>
          <w:tab w:leader="none" w:pos="518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878972108</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24, 2024</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Chafen Lu</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A. Springer</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Timothy A. Springer</w:t>
            </w:r>
          </w:p>
        </w:tc>
      </w:tr>
      <w:tr>
        <w:trPr>
          <w:trHeight w:val="23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682"/>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6"/>
    </w:lvl>
    <w:lvl w:ilvl="1">
      <w:lvlJc w:val="left"/>
      <w:lvlText w:val="%2."/>
      <w:numFmt w:val="decimal"/>
      <w:start w:val="7"/>
    </w:lvl>
  </w:abstractNum>
  <w:abstractNum w:abstractNumId="3">
    <w:nsid w:val="12200854"/>
    <w:multiLevelType w:val="hybridMultilevel"/>
    <w:lvl w:ilvl="0">
      <w:lvlJc w:val="left"/>
      <w:lvlText w:val="%1"/>
      <w:numFmt w:val="decimal"/>
      <w:start w:val="1"/>
    </w:lvl>
    <w:lvl w:ilvl="1">
      <w:lvlJc w:val="left"/>
      <w:lvlText w:val="%2."/>
      <w:numFmt w:val="decimal"/>
      <w:start w:val="13"/>
    </w:lvl>
  </w:abstractNum>
  <w:abstractNum w:abstractNumId="4">
    <w:nsid w:val="4DB127F8"/>
    <w:multiLevelType w:val="hybridMultilevel"/>
    <w:lvl w:ilvl="0">
      <w:lvlJc w:val="left"/>
      <w:lvlText w:val="(%1)"/>
      <w:numFmt w:val="decimal"/>
      <w:start w:val="1"/>
    </w:lvl>
    <w:lvl w:ilvl="1">
      <w:lvlJc w:val="left"/>
      <w:lvlText w:val="%2"/>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6"/>
    </w:lvl>
    <w:lvl w:ilvl="1">
      <w:lvlJc w:val="left"/>
      <w:lvlText w:val="%2."/>
      <w:numFmt w:val="decimal"/>
      <w:start w:val="7"/>
    </w:lvl>
  </w:abstractNum>
  <w:abstractNum w:abstractNumId="7">
    <w:nsid w:val="1190CDE7"/>
    <w:multiLevelType w:val="hybridMultilevel"/>
    <w:lvl w:ilvl="0">
      <w:lvlJc w:val="left"/>
      <w:lvlText w:val="%1"/>
      <w:numFmt w:val="decimal"/>
      <w:start w:val="1"/>
    </w:lvl>
    <w:lvl w:ilvl="1">
      <w:lvlJc w:val="left"/>
      <w:lvlText w:val="%2."/>
      <w:numFmt w:val="decimal"/>
      <w:start w:val="13"/>
    </w:lvl>
  </w:abstractNum>
  <w:abstractNum w:abstractNumId="8">
    <w:nsid w:val="66EF438D"/>
    <w:multiLevelType w:val="hybridMultilevel"/>
    <w:lvl w:ilvl="0">
      <w:lvlJc w:val="left"/>
      <w:lvlText w:val="(%1)"/>
      <w:numFmt w:val="decimal"/>
      <w:start w:val="1"/>
    </w:lvl>
    <w:lvl w:ilvl="1">
      <w:lvlJc w:val="left"/>
      <w:lvlText w:val="%2"/>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6"/>
    </w:lvl>
    <w:lvl w:ilvl="1">
      <w:lvlJc w:val="left"/>
      <w:lvlText w:val="%2."/>
      <w:numFmt w:val="decimal"/>
      <w:start w:val="7"/>
    </w:lvl>
  </w:abstractNum>
  <w:abstractNum w:abstractNumId="11">
    <w:nsid w:val="109CF92E"/>
    <w:multiLevelType w:val="hybridMultilevel"/>
    <w:lvl w:ilvl="0">
      <w:lvlJc w:val="left"/>
      <w:lvlText w:val="%1"/>
      <w:numFmt w:val="decimal"/>
      <w:start w:val="1"/>
    </w:lvl>
    <w:lvl w:ilvl="1">
      <w:lvlJc w:val="left"/>
      <w:lvlText w:val="%2."/>
      <w:numFmt w:val="decimal"/>
      <w:start w:val="13"/>
    </w:lvl>
  </w:abstractNum>
  <w:abstractNum w:abstractNumId="12">
    <w:nsid w:val="DED7263"/>
    <w:multiLevelType w:val="hybridMultilevel"/>
    <w:lvl w:ilvl="0">
      <w:lvlJc w:val="left"/>
      <w:lvlText w:val="(%1)"/>
      <w:numFmt w:val="decimal"/>
      <w:start w:val="1"/>
    </w:lvl>
    <w:lvl w:ilvl="1">
      <w:lvlJc w:val="left"/>
      <w:lvlText w:val="%2"/>
      <w:numFmt w:val="decimal"/>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2024-10-24T16:27:34Z</dcterms:created>
  <dcterms:modified xsi:type="dcterms:W3CDTF">2024-10-24T16:27:34Z</dcterms:modified>
</cp:coreProperties>
</file>