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Tipirneni Praveen P.</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earliest of (i) June 9, 2027, (ii) the date of the Issuer's 2027 Annual Meeting of Stockholders, or (iii) a "Change in Control" (as defined in the Issuer's 2024 Equity Incentive Plan) of the Issuer, subject in each case, to the Reporting Person providing continuous service to the Issuer on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9978"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2026-06-10T15:58:54Z</dcterms:created>
  <dcterms:modified xsi:type="dcterms:W3CDTF">2026-06-10T15:58:54Z</dcterms:modified>
</cp:coreProperties>
</file>