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Act of 1934</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Date of Report (Date of earliest event reported): December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368" w:right="5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2040"/>
          </w:cols>
          <w:pgMar w:left="440" w:top="368" w:right="599" w:bottom="1440" w:gutter="0" w:footer="0" w:header="0"/>
          <w:type w:val="continuous"/>
        </w:sectPr>
      </w:pPr>
    </w:p>
    <w:p>
      <w:pPr>
        <w:spacing w:after="0" w:line="12" w:lineRule="exact"/>
        <w:rPr>
          <w:sz w:val="24"/>
          <w:szCs w:val="24"/>
          <w:color w:val="auto"/>
        </w:rPr>
      </w:pPr>
    </w:p>
    <w:p>
      <w:pPr>
        <w:ind w:left="980"/>
        <w:spacing w:after="0"/>
        <w:rPr>
          <w:sz w:val="20"/>
          <w:szCs w:val="20"/>
          <w:color w:val="auto"/>
        </w:rPr>
      </w:pPr>
      <w:r>
        <w:rPr>
          <w:rFonts w:ascii="Arial" w:cs="Arial" w:eastAsia="Arial" w:hAnsi="Arial"/>
          <w:sz w:val="13"/>
          <w:szCs w:val="13"/>
          <w:b w:val="1"/>
          <w:bCs w:val="1"/>
          <w:color w:val="auto"/>
        </w:rPr>
        <w:t>(State or other jurisdiction of</w:t>
      </w:r>
    </w:p>
    <w:p>
      <w:pPr>
        <w:ind w:left="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80"/>
        <w:spacing w:after="0"/>
        <w:rPr>
          <w:sz w:val="20"/>
          <w:szCs w:val="20"/>
          <w:color w:val="auto"/>
        </w:rPr>
      </w:pPr>
      <w:r>
        <w:rPr>
          <w:rFonts w:ascii="Arial" w:cs="Arial" w:eastAsia="Arial" w:hAnsi="Arial"/>
          <w:sz w:val="14"/>
          <w:szCs w:val="14"/>
          <w:b w:val="1"/>
          <w:bCs w:val="1"/>
          <w:color w:val="auto"/>
        </w:rPr>
        <w:t>(I.R.S. Employer</w:t>
      </w:r>
    </w:p>
    <w:p>
      <w:pPr>
        <w:jc w:val="center"/>
        <w:ind w:right="88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500" w:space="720"/>
            <w:col w:w="2600" w:space="720"/>
            <w:col w:w="2320"/>
          </w:cols>
          <w:pgMar w:left="440" w:top="368" w:right="599" w:bottom="1440" w:gutter="0" w:footer="0" w:header="0"/>
          <w:type w:val="continuous"/>
        </w:sectPr>
      </w:pP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860"/>
          </w:cols>
          <w:pgMar w:left="440" w:top="368" w:right="59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240.13d-4(c))</w:t>
      </w:r>
    </w:p>
    <w:p>
      <w:pPr>
        <w:spacing w:after="0" w:line="11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60"/>
          </w:cols>
          <w:pgMar w:left="440" w:top="368" w:right="599" w:bottom="1440" w:gutter="0" w:footer="0" w:header="0"/>
          <w:type w:val="continuous"/>
        </w:sectPr>
      </w:pPr>
    </w:p>
    <w:bookmarkStart w:id="1" w:name="page2"/>
    <w:bookmarkEnd w:id="1"/>
    <w:p>
      <w:pPr>
        <w:ind w:left="1100" w:right="108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Departure of Katina Dorton as Chief Financial Officer, Principal Financial Officer and Principal Accounting Officer</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December 17, 2018, Katina Dorton departed her positions as Chief Financial Officer of AVROBIO, Inc. (the “Company”) and as principal financial officer and principal accounting officer of the Company, effective immediately.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Departure of Nerissa Kreher as Chief Medical Officer</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December 17, 2018, Nerissa Kreher, M.D., departed her positions as Chief Medical Officer of the Company and as an executive officer of the Company, effective immediately. Dr. Kreher will continue as a senior advisor to the Company until March 31, 2019, at which time her employment with the Company will end.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Appointment of Erik Ostrowski as Chief Financial Officer, Principal Financial Officer and Principal Accounting Officer</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December 18, 2018, the Company announced the appointment of Erik Ostrowski as Chief Financial Officer of the Company, effective on January 2, 2019. Mr. Ostrowski was also appointed as the Company’s principal financial officer and principal accounting officer on December 17, 2018, effective January 2, 2019.</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Mr. Ostrowski, age 46, joins the Company from Summit Therapeutics plc, where he was Chief Financial Officer from June 2014 to December 2018. Prior to that, he served as Vice President of Finance at Organogenesis Inc., a biotechnology company, from 2010 to 2014, and previously worked in investment banking, most recently as a Director with Leerink Partners LLC. Mr. Ostrowski began his career as an accountant with Coopers &amp; Lybrand (now PricewaterhouseCoopers) and received a B.S. in Accounting and Economics from Babson College and an M.B.A. from the University of Chicago Booth School of Business.</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Mr. Ostrowski’s election as Chief Financial Officer, the Company entered into an employment agreement (the “Ostrowski Agreement”) which provides for, among other things: (i) base salary of $412,000; (ii) target annual incentive compensation of 40% of his base salary; and (iii) additional severance and change in control benefits contingent upon Mr. Ostrowski’s agreeing to a general release of claims in favor of the Company following termination of employment as described below. If Mr. Ostrowski is terminated without cause or he resigns his employment for good reason, he will be entitled to severance as follows: nine months of severance based on his then-annual base salary, additional vesting of all time-based awards that would have vested if Mr. Ostrowski remained employed for an additional nine months, and continuation of group health plan benefits for up to nine months to the extent permitted by and consistent with COBRA. “Cause” and “good reason” are each defined in the Ostrowski Agreement. In the event that such termination without cause or resignation for good reason occurs within a three-month period before or an 18-month period following a change in control (as defined in the Ostrowski Agreement), Mr. Ostrowski will be entitled to receive severance in an amount equal to one times his then-annual base salary plus one times his target annual performance bonus then in effect, payable in a lump sum, full vesting of any time-based awards then held by Mr. Ostrowski, and continuation of group health plan benefits for up to 12 months to the extent permitted by and consistent with COBRA.</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Mr. Ostrowski was also granted a signing bonus in the form of a cash bonus of $170,000 and an award of a number of restricted stock units equal to</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$36,000 divided by the closing price of the Company’s stock on Mr. Ostrowski’s start date with the Company. In addition, Mr. Ostrowski was granted an option to purchase 186,000 shares of the Company’s common stock, which will vest over four years, with 25% of the shares vesting on the one-year anniversary of Mr. Ostrowski’s start date and the remaining shares vesting in thirty-six equal monthly installments thereafter, subject to continued employment through the applicable vesting date.</w:t>
      </w:r>
    </w:p>
    <w:p>
      <w:pPr>
        <w:spacing w:after="0" w:line="1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summary of the Ostrowski Agreement is qualified in its entirety by reference to the full Ostrowski Agreement filed herewith as Exhibit 10.1 and incorporated by reference herein.</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entered into an indemnification agreement with Mr. Ostrowski in connection with his employment, which is in substantially the same form as that entered into with the other executive officers of the Company and is incorporated herein by reference.</w:t>
      </w:r>
    </w:p>
    <w:p>
      <w:pPr>
        <w:sectPr>
          <w:pgSz w:w="11900" w:h="16838" w:orient="portrait"/>
          <w:cols w:equalWidth="0" w:num="1">
            <w:col w:w="11000"/>
          </w:cols>
          <w:pgMar w:left="440" w:top="270" w:right="459" w:bottom="1440" w:gutter="0" w:footer="0" w:header="0"/>
        </w:sectPr>
      </w:pPr>
    </w:p>
    <w:bookmarkStart w:id="2" w:name="page3"/>
    <w:bookmarkEnd w:id="2"/>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December 18, 2018, the Company issued a press release titled “AVROBIO, Inc. Expands and Strengthens Leadership Team with Four Senior Management Hires.” A copy of the press release is furnished as Exhibit 99.1 to this Current Report on Form 8-K.</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Item 7.01 and Exhibit 99.1 attached hereto are intended to be furnished and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 except as expressly set forth by specific reference in such filing.</w:t>
      </w:r>
    </w:p>
    <w:p>
      <w:pPr>
        <w:spacing w:after="0" w:line="3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0" w:type="dxa"/>
            <w:vAlign w:val="bottom"/>
            <w:tcBorders>
              <w:bottom w:val="single" w:sz="8" w:color="auto"/>
            </w:tcBorders>
          </w:tcPr>
          <w:p>
            <w:pPr>
              <w:ind w:left="100"/>
              <w:spacing w:after="0" w:line="158" w:lineRule="exact"/>
              <w:rPr>
                <w:sz w:val="20"/>
                <w:szCs w:val="20"/>
                <w:color w:val="auto"/>
              </w:rPr>
            </w:pPr>
            <w:r>
              <w:rPr>
                <w:rFonts w:ascii="Arial" w:cs="Arial" w:eastAsia="Arial" w:hAnsi="Arial"/>
                <w:sz w:val="14"/>
                <w:szCs w:val="14"/>
                <w:b w:val="1"/>
                <w:bCs w:val="1"/>
                <w:color w:val="auto"/>
              </w:rPr>
              <w:t>No.</w:t>
            </w:r>
          </w:p>
        </w:tc>
        <w:tc>
          <w:tcPr>
            <w:tcW w:w="5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3"/>
                <w:szCs w:val="23"/>
                <w:color w:val="auto"/>
              </w:rPr>
            </w:pPr>
          </w:p>
        </w:tc>
        <w:tc>
          <w:tcPr>
            <w:tcW w:w="74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Employment Agreement, dated December 17, 2018, by and between the Company and Erik Ostrowski.</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4340" w:type="dxa"/>
            <w:vAlign w:val="bottom"/>
            <w:tcBorders>
              <w:bottom w:val="single" w:sz="8" w:color="0000EE"/>
            </w:tcBorders>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Press Release of AVROBIO, Inc. dated December 18, 2018.</w:t>
              </w:r>
            </w:hyperlink>
          </w:p>
        </w:tc>
        <w:tc>
          <w:tcPr>
            <w:tcW w:w="3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December 21, 2018</w:t>
      </w:r>
      <w:r>
        <w:rPr>
          <w:sz w:val="20"/>
          <w:szCs w:val="20"/>
          <w:color w:val="auto"/>
        </w:rPr>
        <w:tab/>
      </w:r>
      <w:r>
        <w:rPr>
          <w:rFonts w:ascii="Arial" w:cs="Arial" w:eastAsia="Arial" w:hAnsi="Arial"/>
          <w:sz w:val="17"/>
          <w:szCs w:val="17"/>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280"/>
          </w:cols>
          <w:pgMar w:left="440" w:top="270" w:right="11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This Employment Agreement (“Agreement”) is made as of the 17th day of December, 2018, between AVROBIO, Inc., a Delaware corporation (the “Company”), and Erik Ostrowski (the “Executive”).</w:t>
      </w:r>
    </w:p>
    <w:p>
      <w:pPr>
        <w:spacing w:after="0" w:line="170"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WHEREAS, the Company desires to employ the Executive and the Executive desires to be employed by the Company commencing on January 2, 2019, unless another date is agreed to by the parties. The Executive’s first day of employment shall be the “Effective Date” of this Agreement.</w:t>
      </w:r>
    </w:p>
    <w:p>
      <w:pPr>
        <w:spacing w:after="0" w:line="124"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WHEREAS, to protect the Company’s proprietary information and goodwill, as a condition of Executive’s employment, the Executive and the Company will become parties to Employee Confidentiality, Assignment and Noncompetition Agreement (the “Restrictive Covenants Agreement”) which is being provided to Executive along with this Agreement and at least ten (10) business days before the Effective Date. Executive has a right to consult with counsel prior to signing the Restrictive Covenants Agreement.</w:t>
      </w:r>
    </w:p>
    <w:p>
      <w:pPr>
        <w:spacing w:after="0" w:line="18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279" w:lineRule="exact"/>
        <w:rPr>
          <w:sz w:val="20"/>
          <w:szCs w:val="20"/>
          <w:color w:val="auto"/>
        </w:rPr>
      </w:pPr>
    </w:p>
    <w:p>
      <w:pPr>
        <w:ind w:left="760" w:hanging="316"/>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40" w:firstLine="885"/>
        <w:spacing w:after="0" w:line="286" w:lineRule="auto"/>
        <w:tabs>
          <w:tab w:leader="none" w:pos="1261"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shall commence on the Effective Date and continue until terminated in accordance with the provisions hereof (the “Term”). The Executive’s employment with the Company will be “at will,” meaning that the Executive’s employment may be terminated by the Company or the Executive at any time and for any reason subject to the terms of this Agreement.</w:t>
      </w:r>
    </w:p>
    <w:p>
      <w:pPr>
        <w:spacing w:after="0" w:line="165" w:lineRule="exact"/>
        <w:rPr>
          <w:rFonts w:ascii="Arial" w:cs="Arial" w:eastAsia="Arial" w:hAnsi="Arial"/>
          <w:sz w:val="17"/>
          <w:szCs w:val="17"/>
          <w:color w:val="auto"/>
        </w:rPr>
      </w:pPr>
    </w:p>
    <w:p>
      <w:pPr>
        <w:ind w:right="40" w:firstLine="885"/>
        <w:spacing w:after="0" w:line="270" w:lineRule="auto"/>
        <w:tabs>
          <w:tab w:leader="none" w:pos="1271"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During the Term, the Executive shall serve as the Chief Financial Officer of the Company, and shall have supervision and control over and responsibility for the day-to-day business and affairs of the finance department of the Company and shall have such other powers and duties as may from time to time be prescribed by the Board of Directors of the Company (the “Board”), the Chief Executive Officer of the Company (the “CEO”) or other authorized executive. The Executive shall devote his full working time and efforts to the business and affairs of the Company. Notwithstanding the foregoing, the Executive may serve on other boards of directors, with the approval of the Board, or engage in religious, charitable or other community activities as long as such services and activities are disclosed to the Board and do not materially interfere with the Executive’s performance of his duties to the Company as provided in this Agreement. For the avoidance of doubt, the Executive may continue to serve in the roles set forth on Schedule 1 hereto without the necessity of further approval from the Board, provided that no conflicts result in the future from the Executive’s service in such role.</w:t>
      </w:r>
    </w:p>
    <w:p>
      <w:pPr>
        <w:sectPr>
          <w:pgSz w:w="11900" w:h="16838" w:orient="portrait"/>
          <w:cols w:equalWidth="0" w:num="1">
            <w:col w:w="11020"/>
          </w:cols>
          <w:pgMar w:left="440" w:top="121" w:right="439" w:bottom="1440" w:gutter="0" w:footer="0" w:header="0"/>
        </w:sectPr>
      </w:pPr>
    </w:p>
    <w:bookmarkStart w:id="5" w:name="page6"/>
    <w:bookmarkEnd w:id="5"/>
    <w:p>
      <w:pPr>
        <w:ind w:left="740" w:hanging="31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and Related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20" w:right="300" w:firstLine="885"/>
        <w:spacing w:after="0" w:line="259" w:lineRule="auto"/>
        <w:tabs>
          <w:tab w:leader="none" w:pos="1241"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Term, the Executive’s annual base salary shall be $412,000.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6" w:lineRule="exact"/>
        <w:rPr>
          <w:rFonts w:ascii="Arial" w:cs="Arial" w:eastAsia="Arial" w:hAnsi="Arial"/>
          <w:sz w:val="18"/>
          <w:szCs w:val="18"/>
          <w:color w:val="auto"/>
        </w:rPr>
      </w:pPr>
    </w:p>
    <w:p>
      <w:pPr>
        <w:ind w:left="-20" w:right="20" w:firstLine="885"/>
        <w:spacing w:after="0" w:line="259" w:lineRule="auto"/>
        <w:tabs>
          <w:tab w:leader="none" w:pos="1251"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During the Term, the Executive shall be eligible to receive cash incentive compensation as determined by the Board or the Compensation Committee from time to time. The Executive’s initial target annual incentive compensation shall be forty percent (40%) of his Base Salary (as in effect at any time, the “Target Annual Incentive Compensation”). To earn incentive compensation, the Executive must be employed by the Company on the day such incentive compensation is paid.</w:t>
      </w:r>
    </w:p>
    <w:p>
      <w:pPr>
        <w:spacing w:after="0" w:line="186" w:lineRule="exact"/>
        <w:rPr>
          <w:rFonts w:ascii="Arial" w:cs="Arial" w:eastAsia="Arial" w:hAnsi="Arial"/>
          <w:sz w:val="18"/>
          <w:szCs w:val="18"/>
          <w:color w:val="auto"/>
        </w:rPr>
      </w:pPr>
    </w:p>
    <w:p>
      <w:pPr>
        <w:ind w:left="-20" w:right="120" w:firstLine="885"/>
        <w:spacing w:after="0" w:line="264" w:lineRule="auto"/>
        <w:tabs>
          <w:tab w:leader="none" w:pos="1241"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officers.</w:t>
      </w:r>
    </w:p>
    <w:p>
      <w:pPr>
        <w:spacing w:after="0" w:line="181" w:lineRule="exact"/>
        <w:rPr>
          <w:rFonts w:ascii="Arial" w:cs="Arial" w:eastAsia="Arial" w:hAnsi="Arial"/>
          <w:sz w:val="18"/>
          <w:szCs w:val="18"/>
          <w:color w:val="auto"/>
        </w:rPr>
      </w:pPr>
    </w:p>
    <w:p>
      <w:pPr>
        <w:ind w:left="-20" w:right="20" w:firstLine="885"/>
        <w:spacing w:after="0" w:line="264" w:lineRule="auto"/>
        <w:tabs>
          <w:tab w:leader="none" w:pos="1251"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the Executive shall be eligible to participate in or receive benefits under the Company’s employee benefit plans in effect from time to time, subject to the terms of such plans. Additionally, during the Term, the Executive shall be eligible to receive such benefits and perquisites as those made available to the other employees of the Company generally.</w:t>
      </w:r>
    </w:p>
    <w:p>
      <w:pPr>
        <w:spacing w:after="0" w:line="181" w:lineRule="exact"/>
        <w:rPr>
          <w:rFonts w:ascii="Arial" w:cs="Arial" w:eastAsia="Arial" w:hAnsi="Arial"/>
          <w:sz w:val="18"/>
          <w:szCs w:val="18"/>
          <w:color w:val="auto"/>
        </w:rPr>
      </w:pPr>
    </w:p>
    <w:p>
      <w:pPr>
        <w:ind w:left="-20" w:right="200" w:firstLine="885"/>
        <w:spacing w:after="0" w:line="264" w:lineRule="auto"/>
        <w:tabs>
          <w:tab w:leader="none" w:pos="1241"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During the Term, the Executive shall be entitled to paid vacation in accordance with the Company’s policies and procedures, which shall be a minimum of 20 days in addition to the Company’s paid holidays. The Executive shall also be entitled to all paid holidays given by the Company to its executive officers.</w:t>
      </w:r>
    </w:p>
    <w:p>
      <w:pPr>
        <w:spacing w:after="0" w:line="181" w:lineRule="exact"/>
        <w:rPr>
          <w:rFonts w:ascii="Arial" w:cs="Arial" w:eastAsia="Arial" w:hAnsi="Arial"/>
          <w:sz w:val="18"/>
          <w:szCs w:val="18"/>
          <w:color w:val="auto"/>
        </w:rPr>
      </w:pPr>
    </w:p>
    <w:p>
      <w:pPr>
        <w:ind w:left="-20" w:firstLine="885"/>
        <w:spacing w:after="0" w:line="270" w:lineRule="auto"/>
        <w:tabs>
          <w:tab w:leader="none" w:pos="1221"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Signing Bonus</w:t>
      </w:r>
      <w:r>
        <w:rPr>
          <w:rFonts w:ascii="Arial" w:cs="Arial" w:eastAsia="Arial" w:hAnsi="Arial"/>
          <w:sz w:val="17"/>
          <w:szCs w:val="17"/>
          <w:color w:val="auto"/>
        </w:rPr>
        <w:t>. The Company shall pay the Executive a signing bonus in the form of a cash bonus and an award of restricted stock units. With respect to the cash bonus component, the Company shall pay the Executive a lump sum of $170,000 (the “Cash Signing Bonus”) within 30 days after the Effective Date, provided that, if within the one year period immediately following the Effective Date, (i) the Executive terminates his employment other than for Good Reason (as defined below) or (ii) the Company terminates the Executive’s employment for Cause (as defined below), then the Executive shall repay the entire Cash Signing Bonus to the Company within 30 days after the Date of Termination (as defined below). The Cash Signing Bonus shall be subject to applicable deductions and tax withholdings. With respect to the equity component, the Company will grant the Executive an award of a number of restricted stock units, with such number to equal $36,000 divided by the closing price of the Company’s stock on the Effective Date (the “Signing Bonus Award”). The Signing Bonus Award shall vest on the same schedule as the New Hire Award (as defined below), subject to the Executive’s continued service relationship with the Company, and shall be governed by the terms and conditions set forth in the Equity Documents (as defined below), including without limitation the applicable award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6" w:name="page7"/>
    <w:bookmarkEnd w:id="6"/>
    <w:p>
      <w:pPr>
        <w:ind w:left="-20" w:right="80" w:firstLine="885"/>
        <w:spacing w:after="0" w:line="270" w:lineRule="auto"/>
        <w:tabs>
          <w:tab w:leader="none" w:pos="1251"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w:t>
      </w:r>
      <w:r>
        <w:rPr>
          <w:rFonts w:ascii="Arial" w:cs="Arial" w:eastAsia="Arial" w:hAnsi="Arial"/>
          <w:sz w:val="17"/>
          <w:szCs w:val="17"/>
          <w:color w:val="auto"/>
        </w:rPr>
        <w:t>. The Executive shall also be eligible to participate in the Company’s equity incentive plan, subject to approval by the Board or Compensation Committee. The Company will grant the Executive an option to purchase 186,000 shares of the Company’s common stock (“New Hire Award”). The New Hire Award shall vest over four years, with twenty-five percent of the New Hire Award vesting on the one-year anniversary of the Effective Date and the remaining shares vesting in thirty-six equal monthly installments following the one-year anniversary of the Effective Date, subject to the Executive’s continued service relationship with the Company. The New Hire Award, together with any other equity awards held by the Executive (including without limitation the Signing Bonus Award), shall be governed by the terms and conditions of the Company’s applicable equity incentive plan(s) and the applicable award agreement(s) governing the terms of such equity awards held by the Executive (collectively, the “Equity Documents”); provided, however, and notwithstanding anything to the contrary in the Equity Documents, Section 4(b)(ii) or Section 5(a)(ii) of this Agreement (as applicable) shall apply in the event of a termination by the Company without Cause or by the Executive for Good Reason (as such terms are defined below).</w:t>
      </w:r>
    </w:p>
    <w:p>
      <w:pPr>
        <w:spacing w:after="0" w:line="177" w:lineRule="exact"/>
        <w:rPr>
          <w:rFonts w:ascii="Arial" w:cs="Arial" w:eastAsia="Arial" w:hAnsi="Arial"/>
          <w:sz w:val="17"/>
          <w:szCs w:val="17"/>
          <w:color w:val="auto"/>
        </w:rPr>
      </w:pPr>
    </w:p>
    <w:p>
      <w:pPr>
        <w:ind w:left="-20" w:right="300" w:firstLine="444"/>
        <w:spacing w:after="0" w:line="277" w:lineRule="auto"/>
        <w:tabs>
          <w:tab w:leader="none" w:pos="73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During the Term, the Executive’s employment hereunder may be terminated without any breach of this Agreement under the following circumstances:</w:t>
      </w:r>
    </w:p>
    <w:p>
      <w:pPr>
        <w:spacing w:after="0" w:line="170" w:lineRule="exact"/>
        <w:rPr>
          <w:rFonts w:ascii="Arial" w:cs="Arial" w:eastAsia="Arial" w:hAnsi="Arial"/>
          <w:sz w:val="18"/>
          <w:szCs w:val="18"/>
          <w:color w:val="auto"/>
        </w:rPr>
      </w:pPr>
    </w:p>
    <w:p>
      <w:pPr>
        <w:ind w:left="1240" w:hanging="375"/>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his death.</w:t>
      </w:r>
    </w:p>
    <w:p>
      <w:pPr>
        <w:spacing w:after="0" w:line="225" w:lineRule="exact"/>
        <w:rPr>
          <w:rFonts w:ascii="Arial" w:cs="Arial" w:eastAsia="Arial" w:hAnsi="Arial"/>
          <w:sz w:val="18"/>
          <w:szCs w:val="18"/>
          <w:color w:val="auto"/>
        </w:rPr>
      </w:pPr>
    </w:p>
    <w:p>
      <w:pPr>
        <w:ind w:left="-20" w:firstLine="885"/>
        <w:spacing w:after="0" w:line="269" w:lineRule="auto"/>
        <w:tabs>
          <w:tab w:leader="none" w:pos="1251"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182" w:lineRule="exact"/>
        <w:rPr>
          <w:rFonts w:ascii="Arial" w:cs="Arial" w:eastAsia="Arial" w:hAnsi="Arial"/>
          <w:sz w:val="17"/>
          <w:szCs w:val="17"/>
          <w:color w:val="auto"/>
        </w:rPr>
      </w:pPr>
    </w:p>
    <w:p>
      <w:pPr>
        <w:ind w:left="-20" w:right="140" w:firstLine="885"/>
        <w:spacing w:after="0" w:line="264" w:lineRule="auto"/>
        <w:tabs>
          <w:tab w:leader="none" w:pos="1241"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Termination by Company for Cause</w:t>
      </w:r>
      <w:r>
        <w:rPr>
          <w:rFonts w:ascii="Arial" w:cs="Arial" w:eastAsia="Arial" w:hAnsi="Arial"/>
          <w:sz w:val="18"/>
          <w:szCs w:val="18"/>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7" w:name="page8"/>
    <w:bookmarkEnd w:id="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of the Company or any of its subsidiaries or affiliates other than the occasional, customary and de minimis use of Company property for personal purposes; (ii) the commission by the Executive of any felony or a misdemeanor involving moral turpitude, material deceit or dishonesty, or fraud, or any conduct by the Executive that would reasonably be expected to result in material injury or reputational harm to the Company or any of its subsidiaries or affiliates if he were retained in his position; (iii) continued non-performance by the Executive of his duties hereunder (other than by reason of the Executive’s physical or mental illness, incapacity or disability) which has continued for more than 30 days following written notice (with a reasonably detailed summary of such alleged non-performance specified) of such non-performance from the Company’s CEO; (iv) a breach by the Executive of any of the provisions incorporated into or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3" w:lineRule="exact"/>
        <w:rPr>
          <w:sz w:val="20"/>
          <w:szCs w:val="20"/>
          <w:color w:val="auto"/>
        </w:rPr>
      </w:pPr>
    </w:p>
    <w:p>
      <w:pPr>
        <w:ind w:right="40" w:firstLine="885"/>
        <w:spacing w:after="0" w:line="312" w:lineRule="auto"/>
        <w:tabs>
          <w:tab w:leader="none" w:pos="127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46" w:lineRule="exact"/>
        <w:rPr>
          <w:rFonts w:ascii="Arial" w:cs="Arial" w:eastAsia="Arial" w:hAnsi="Arial"/>
          <w:sz w:val="16"/>
          <w:szCs w:val="16"/>
          <w:color w:val="auto"/>
        </w:rPr>
      </w:pPr>
    </w:p>
    <w:p>
      <w:pPr>
        <w:ind w:firstLine="885"/>
        <w:spacing w:after="0" w:line="286" w:lineRule="auto"/>
        <w:tabs>
          <w:tab w:leader="none" w:pos="126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Termination by the Executive</w:t>
      </w:r>
      <w:r>
        <w:rPr>
          <w:rFonts w:ascii="Arial" w:cs="Arial" w:eastAsia="Arial" w:hAnsi="Arial"/>
          <w:sz w:val="16"/>
          <w:szCs w:val="16"/>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or reporting relationship, which in the case of a Change in Control (as defined in Section 5) shall include the failure of the acquiring company to appoint Executive as the CFO of the senior most entity in the affiliated group in which the acquiring company is then a member; (ii) a material diminution in the Executive’s Base Salary except for across-the-board salary reductions based on the Company’s financial performance similarly affecting all or substantially all senior management employees of the Company; (iii) a material change in the geographic location at which the Executive provides services to the Company; or (iv) a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ind w:left="-20" w:right="200" w:firstLine="885"/>
        <w:spacing w:after="0" w:line="312" w:lineRule="auto"/>
        <w:tabs>
          <w:tab w:leader="none" w:pos="1221"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46" w:lineRule="exact"/>
        <w:rPr>
          <w:rFonts w:ascii="Arial" w:cs="Arial" w:eastAsia="Arial" w:hAnsi="Arial"/>
          <w:sz w:val="16"/>
          <w:szCs w:val="16"/>
          <w:color w:val="auto"/>
        </w:rPr>
      </w:pPr>
    </w:p>
    <w:p>
      <w:pPr>
        <w:ind w:left="-20" w:right="60" w:firstLine="885"/>
        <w:spacing w:after="0" w:line="271" w:lineRule="auto"/>
        <w:tabs>
          <w:tab w:leader="none" w:pos="1251"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287" w:lineRule="exact"/>
        <w:rPr>
          <w:rFonts w:ascii="Arial" w:cs="Arial" w:eastAsia="Arial" w:hAnsi="Arial"/>
          <w:sz w:val="17"/>
          <w:szCs w:val="17"/>
          <w:color w:val="auto"/>
        </w:rPr>
      </w:pPr>
    </w:p>
    <w:p>
      <w:pPr>
        <w:ind w:left="740" w:hanging="316"/>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40" w:firstLine="885"/>
        <w:spacing w:after="0" w:line="273" w:lineRule="auto"/>
        <w:tabs>
          <w:tab w:leader="none" w:pos="1241"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78" w:lineRule="exact"/>
        <w:rPr>
          <w:rFonts w:ascii="Arial" w:cs="Arial" w:eastAsia="Arial" w:hAnsi="Arial"/>
          <w:sz w:val="17"/>
          <w:szCs w:val="17"/>
          <w:color w:val="auto"/>
        </w:rPr>
      </w:pPr>
    </w:p>
    <w:p>
      <w:pPr>
        <w:ind w:left="-20" w:firstLine="885"/>
        <w:spacing w:after="0" w:line="253" w:lineRule="auto"/>
        <w:tabs>
          <w:tab w:leader="none" w:pos="1251"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 or by the Executive with Good Reason</w:t>
      </w:r>
      <w:r>
        <w:rPr>
          <w:rFonts w:ascii="Arial" w:cs="Arial" w:eastAsia="Arial" w:hAnsi="Arial"/>
          <w:sz w:val="18"/>
          <w:szCs w:val="18"/>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subject to the Executive signing a separation agreement containing, among other provisions, a general release of claims in favor of the Company and related persons and entities, confidentiality, return of property and non-disparagement, a reaffirmation of all of the Executive’s Continuing Obligations and, in the Company’s sole discretion, a one-year post-employment noncompetition agreement, and that shall provide that if the Executive breaches any of the Executive’s Continuing Obligations, all payments of the Severance Amount shall immediately cease, in a form and manner satisfactory to the Company (the “Separation Agreement and Release”) and the Separation Agreement and Release becoming irrevocable (after a seven (7) business day revocation period) and fully effective and, if applicable,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resigning as a member of the Board of Directors, all within 60 days after the Date of Termination (or such shorter time period provided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Separation Agreement and Release):</w:t>
      </w:r>
    </w:p>
    <w:p>
      <w:pPr>
        <w:spacing w:after="0" w:line="103" w:lineRule="exact"/>
        <w:rPr>
          <w:sz w:val="20"/>
          <w:szCs w:val="20"/>
          <w:color w:val="auto"/>
        </w:rPr>
      </w:pPr>
    </w:p>
    <w:p>
      <w:pPr>
        <w:ind w:left="440" w:right="440" w:firstLine="851"/>
        <w:spacing w:after="0" w:line="279" w:lineRule="auto"/>
        <w:tabs>
          <w:tab w:leader="none" w:pos="163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Company shall pay the Executive an amount equal to 0.75 times the sum of the Executive’s Base Salary (the “Severance Amount”) provided in the event the Executive is entitled to any payments pursuant to the Restrictive Covenants Agreement, the Severance Amount received in any calendar year will be reduced by the amount the Executive is paid in the same such calendar year pursuant to the Restrictive Covenants Agreement (the “Restrictive Covenants Agreement Setoff”);</w:t>
      </w:r>
    </w:p>
    <w:p>
      <w:pPr>
        <w:spacing w:after="0" w:line="63" w:lineRule="exact"/>
        <w:rPr>
          <w:rFonts w:ascii="Arial" w:cs="Arial" w:eastAsia="Arial" w:hAnsi="Arial"/>
          <w:sz w:val="17"/>
          <w:szCs w:val="17"/>
          <w:color w:val="auto"/>
        </w:rPr>
      </w:pPr>
    </w:p>
    <w:p>
      <w:pPr>
        <w:ind w:left="440" w:firstLine="851"/>
        <w:spacing w:after="0" w:line="259" w:lineRule="auto"/>
        <w:tabs>
          <w:tab w:leader="none" w:pos="1686"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 additional nine months following the Date of Termination shall vest and become exercisable or nonforfeitable as of the Date of Termination;</w:t>
      </w:r>
    </w:p>
    <w:p>
      <w:pPr>
        <w:spacing w:after="0" w:line="78" w:lineRule="exact"/>
        <w:rPr>
          <w:rFonts w:ascii="Arial" w:cs="Arial" w:eastAsia="Arial" w:hAnsi="Arial"/>
          <w:sz w:val="18"/>
          <w:szCs w:val="18"/>
          <w:color w:val="auto"/>
        </w:rPr>
      </w:pPr>
    </w:p>
    <w:p>
      <w:pPr>
        <w:jc w:val="both"/>
        <w:ind w:left="440" w:right="120" w:firstLine="851"/>
        <w:spacing w:after="0" w:line="279" w:lineRule="auto"/>
        <w:tabs>
          <w:tab w:leader="none" w:pos="1736" w:val="left"/>
        </w:tabs>
        <w:numPr>
          <w:ilvl w:val="1"/>
          <w:numId w:val="9"/>
        </w:numPr>
        <w:rPr>
          <w:rFonts w:ascii="Arial" w:cs="Arial" w:eastAsia="Arial" w:hAnsi="Arial"/>
          <w:sz w:val="17"/>
          <w:szCs w:val="17"/>
          <w:color w:val="auto"/>
        </w:rPr>
      </w:pPr>
      <w:r>
        <w:rPr>
          <w:rFonts w:ascii="Arial" w:cs="Arial" w:eastAsia="Arial" w:hAnsi="Arial"/>
          <w:sz w:val="17"/>
          <w:szCs w:val="17"/>
          <w:color w:val="auto"/>
        </w:rPr>
        <w:t>if the Executive was participating in the Company’s group health plan immediately prior to the Date of Termination and elects COBRA health continuation, then the Company shall pay to the Executive a monthly cash payment for nine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63" w:lineRule="exact"/>
        <w:rPr>
          <w:rFonts w:ascii="Arial" w:cs="Arial" w:eastAsia="Arial" w:hAnsi="Arial"/>
          <w:sz w:val="17"/>
          <w:szCs w:val="17"/>
          <w:color w:val="auto"/>
        </w:rPr>
      </w:pPr>
    </w:p>
    <w:p>
      <w:pPr>
        <w:ind w:left="440" w:right="20" w:firstLine="851"/>
        <w:spacing w:after="0" w:line="255" w:lineRule="auto"/>
        <w:tabs>
          <w:tab w:leader="none" w:pos="172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amounts payable under Section 4(b)(i) and (iii) shall be paid out in substantially equal installments in accordance with the Company’s payroll practice over nine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93" w:lineRule="exact"/>
        <w:rPr>
          <w:rFonts w:ascii="Arial" w:cs="Arial" w:eastAsia="Arial" w:hAnsi="Arial"/>
          <w:sz w:val="18"/>
          <w:szCs w:val="18"/>
          <w:color w:val="auto"/>
        </w:rPr>
      </w:pPr>
    </w:p>
    <w:p>
      <w:pPr>
        <w:ind w:right="60" w:firstLine="444"/>
        <w:spacing w:after="0" w:line="291" w:lineRule="auto"/>
        <w:tabs>
          <w:tab w:leader="none" w:pos="75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w:t>
      </w:r>
      <w:r>
        <w:rPr>
          <w:rFonts w:ascii="Arial" w:cs="Arial" w:eastAsia="Arial" w:hAnsi="Arial"/>
          <w:sz w:val="16"/>
          <w:szCs w:val="16"/>
          <w:color w:val="auto"/>
        </w:rPr>
        <w:t>. The provisions of this Section 5 set forth certain terms of an agreement reached between the Executive and the Company regarding the Executive’s rights and obligations upon the occurrence of a Change in Control of the Company. In the event of a Change in Control during the Term, all time-based stock options and other time-based stock-based awards held by the Executive as of the Effective Date that were granted to the Executive at least 12 months prior to the Effective Date shall immediately accelerate and become fully exercisable or nonforfeitable as of immediately prior to such Change in Control.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4(b) regarding severance pay and benefits upon a termination of</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0" w:name="page11"/>
    <w:bookmarkEnd w:id="10"/>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if such termination of employment occurs within three months prior to or 18 months after the occurrence of the first event constituting a Change in Control. These provisions shall terminate and be of no further force or effect beginning 18 months after the occurrence of a Change in Control.</w:t>
      </w:r>
    </w:p>
    <w:p>
      <w:pPr>
        <w:spacing w:after="0" w:line="181" w:lineRule="exact"/>
        <w:rPr>
          <w:sz w:val="20"/>
          <w:szCs w:val="20"/>
          <w:color w:val="auto"/>
        </w:rPr>
      </w:pPr>
    </w:p>
    <w:p>
      <w:pPr>
        <w:ind w:right="100" w:firstLine="885"/>
        <w:spacing w:after="0" w:line="276" w:lineRule="auto"/>
        <w:tabs>
          <w:tab w:leader="none" w:pos="1261"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During the Term, if within three months prior to or 18 months after a Change in Control,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64" w:lineRule="exact"/>
        <w:rPr>
          <w:rFonts w:ascii="Arial" w:cs="Arial" w:eastAsia="Arial" w:hAnsi="Arial"/>
          <w:sz w:val="17"/>
          <w:szCs w:val="17"/>
          <w:color w:val="auto"/>
        </w:rPr>
      </w:pPr>
    </w:p>
    <w:p>
      <w:pPr>
        <w:ind w:left="440" w:firstLine="851"/>
        <w:spacing w:after="0" w:line="279" w:lineRule="auto"/>
        <w:tabs>
          <w:tab w:leader="none" w:pos="1636"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Company shall pay the Executive a lump sum in cash in an amount equal to one times the sum of (A) the Executive’s current Base Salary (or the Executive’s Base Salary in effect immediately prior to the Change in Control, if higher) and (B) the Executive’s Target Annual Incentive Compensation then in effect (together the “Change in Control Payment”), provided the Change in Control Payment shall be reduced by the amount of the Restrictive Covenants Agreement Setoff, if applicable, paid or to be paid in the same calendar year;</w:t>
      </w:r>
    </w:p>
    <w:p>
      <w:pPr>
        <w:spacing w:after="0" w:line="63" w:lineRule="exact"/>
        <w:rPr>
          <w:rFonts w:ascii="Arial" w:cs="Arial" w:eastAsia="Arial" w:hAnsi="Arial"/>
          <w:sz w:val="17"/>
          <w:szCs w:val="17"/>
          <w:color w:val="auto"/>
        </w:rPr>
      </w:pPr>
    </w:p>
    <w:p>
      <w:pPr>
        <w:ind w:left="440" w:right="320" w:firstLine="851"/>
        <w:spacing w:after="0" w:line="264" w:lineRule="auto"/>
        <w:tabs>
          <w:tab w:leader="none" w:pos="1686"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shall immediately accelerate and become fully exercisable or nonforfeitable as of the Date of Termination;</w:t>
      </w:r>
    </w:p>
    <w:p>
      <w:pPr>
        <w:spacing w:after="0" w:line="73" w:lineRule="exact"/>
        <w:rPr>
          <w:rFonts w:ascii="Arial" w:cs="Arial" w:eastAsia="Arial" w:hAnsi="Arial"/>
          <w:sz w:val="18"/>
          <w:szCs w:val="18"/>
          <w:color w:val="auto"/>
        </w:rPr>
      </w:pPr>
    </w:p>
    <w:p>
      <w:pPr>
        <w:ind w:left="440" w:firstLine="851"/>
        <w:spacing w:after="0" w:line="279" w:lineRule="auto"/>
        <w:tabs>
          <w:tab w:leader="none" w:pos="1736" w:val="left"/>
        </w:tabs>
        <w:numPr>
          <w:ilvl w:val="1"/>
          <w:numId w:val="11"/>
        </w:numPr>
        <w:rPr>
          <w:rFonts w:ascii="Arial" w:cs="Arial" w:eastAsia="Arial" w:hAnsi="Arial"/>
          <w:sz w:val="17"/>
          <w:szCs w:val="17"/>
          <w:color w:val="auto"/>
        </w:rPr>
      </w:pPr>
      <w:r>
        <w:rPr>
          <w:rFonts w:ascii="Arial" w:cs="Arial" w:eastAsia="Arial" w:hAnsi="Arial"/>
          <w:sz w:val="17"/>
          <w:szCs w:val="17"/>
          <w:color w:val="auto"/>
        </w:rPr>
        <w:t>if the Executive was participating in the Company’s group health plan immediately prior to the Date of Termination and elects COBRA health continuation, then the Company shall pay to the Executive a monthly cash payment for twelve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63" w:lineRule="exact"/>
        <w:rPr>
          <w:rFonts w:ascii="Arial" w:cs="Arial" w:eastAsia="Arial" w:hAnsi="Arial"/>
          <w:sz w:val="17"/>
          <w:szCs w:val="17"/>
          <w:color w:val="auto"/>
        </w:rPr>
      </w:pPr>
    </w:p>
    <w:p>
      <w:pPr>
        <w:ind w:left="440" w:right="160" w:firstLine="851"/>
        <w:spacing w:after="0" w:line="264" w:lineRule="auto"/>
        <w:tabs>
          <w:tab w:leader="none" w:pos="172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amounts payable under Section 5(a)(i) and (iii)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289" w:lineRule="exact"/>
        <w:rPr>
          <w:rFonts w:ascii="Arial" w:cs="Arial" w:eastAsia="Arial" w:hAnsi="Arial"/>
          <w:sz w:val="18"/>
          <w:szCs w:val="18"/>
          <w:color w:val="auto"/>
        </w:rPr>
      </w:pPr>
    </w:p>
    <w:p>
      <w:pPr>
        <w:ind w:left="1280" w:hanging="395"/>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Additional Limitation.</w:t>
      </w:r>
    </w:p>
    <w:p>
      <w:pPr>
        <w:spacing w:after="0" w:line="117" w:lineRule="exact"/>
        <w:rPr>
          <w:rFonts w:ascii="Arial" w:cs="Arial" w:eastAsia="Arial" w:hAnsi="Arial"/>
          <w:sz w:val="18"/>
          <w:szCs w:val="18"/>
          <w:color w:val="auto"/>
        </w:rPr>
      </w:pPr>
    </w:p>
    <w:p>
      <w:pPr>
        <w:ind w:left="440" w:right="80" w:firstLine="851"/>
        <w:spacing w:after="0" w:line="264" w:lineRule="auto"/>
        <w:tabs>
          <w:tab w:leader="none" w:pos="162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1" w:name="page12"/>
    <w:bookmarkEnd w:id="11"/>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w:t>
      </w:r>
    </w:p>
    <w:p>
      <w:pPr>
        <w:spacing w:after="0" w:line="3" w:lineRule="exact"/>
        <w:rPr>
          <w:sz w:val="20"/>
          <w:szCs w:val="20"/>
          <w:color w:val="auto"/>
        </w:rPr>
      </w:pPr>
    </w:p>
    <w:p>
      <w:pPr>
        <w:ind w:right="80" w:firstLine="4"/>
        <w:spacing w:after="0" w:line="254"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81" w:lineRule="exact"/>
        <w:rPr>
          <w:rFonts w:ascii="Arial" w:cs="Arial" w:eastAsia="Arial" w:hAnsi="Arial"/>
          <w:sz w:val="18"/>
          <w:szCs w:val="18"/>
          <w:color w:val="auto"/>
        </w:rPr>
      </w:pPr>
    </w:p>
    <w:p>
      <w:pPr>
        <w:ind w:right="40" w:firstLine="851"/>
        <w:spacing w:after="0" w:line="273" w:lineRule="auto"/>
        <w:tabs>
          <w:tab w:leader="none" w:pos="1246" w:val="left"/>
        </w:tabs>
        <w:numPr>
          <w:ilvl w:val="2"/>
          <w:numId w:val="12"/>
        </w:numPr>
        <w:rPr>
          <w:rFonts w:ascii="Arial" w:cs="Arial" w:eastAsia="Arial" w:hAnsi="Arial"/>
          <w:sz w:val="17"/>
          <w:szCs w:val="17"/>
          <w:color w:val="auto"/>
        </w:rPr>
      </w:pPr>
      <w:r>
        <w:rPr>
          <w:rFonts w:ascii="Arial" w:cs="Arial" w:eastAsia="Arial" w:hAnsi="Arial"/>
          <w:sz w:val="17"/>
          <w:szCs w:val="17"/>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70" w:lineRule="exact"/>
        <w:rPr>
          <w:rFonts w:ascii="Arial" w:cs="Arial" w:eastAsia="Arial" w:hAnsi="Arial"/>
          <w:sz w:val="17"/>
          <w:szCs w:val="17"/>
          <w:color w:val="auto"/>
        </w:rPr>
      </w:pPr>
    </w:p>
    <w:p>
      <w:pPr>
        <w:ind w:firstLine="851"/>
        <w:spacing w:after="0" w:line="257" w:lineRule="auto"/>
        <w:tabs>
          <w:tab w:leader="none" w:pos="1293"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8" w:lineRule="exact"/>
        <w:rPr>
          <w:rFonts w:ascii="Arial" w:cs="Arial" w:eastAsia="Arial" w:hAnsi="Arial"/>
          <w:sz w:val="18"/>
          <w:szCs w:val="18"/>
          <w:color w:val="auto"/>
        </w:rPr>
      </w:pPr>
    </w:p>
    <w:p>
      <w:pPr>
        <w:ind w:left="820" w:hanging="375"/>
        <w:spacing w:after="0"/>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5,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 in Control” shall mean any of the following:</w:t>
      </w:r>
    </w:p>
    <w:p>
      <w:pPr>
        <w:spacing w:after="0" w:line="117" w:lineRule="exact"/>
        <w:rPr>
          <w:sz w:val="20"/>
          <w:szCs w:val="20"/>
          <w:color w:val="auto"/>
        </w:rPr>
      </w:pPr>
    </w:p>
    <w:p>
      <w:pPr>
        <w:ind w:right="80" w:firstLine="851"/>
        <w:spacing w:after="0" w:line="312" w:lineRule="auto"/>
        <w:tabs>
          <w:tab w:leader="none" w:pos="11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w:t>
      </w:r>
    </w:p>
    <w:p>
      <w:pPr>
        <w:spacing w:after="0" w:line="7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80"/>
          </w:cols>
          <w:pgMar w:left="880" w:top="274" w:right="539" w:bottom="1440" w:gutter="0" w:footer="0" w:header="0"/>
        </w:sectPr>
      </w:pPr>
    </w:p>
    <w:bookmarkStart w:id="12" w:name="page13"/>
    <w:bookmarkEnd w:id="12"/>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 Securities”) (in such case other than as a result of an acquisition of securities directly from the Company); or</w:t>
      </w:r>
    </w:p>
    <w:p>
      <w:pPr>
        <w:spacing w:after="0" w:line="79" w:lineRule="exact"/>
        <w:rPr>
          <w:sz w:val="20"/>
          <w:szCs w:val="20"/>
          <w:color w:val="auto"/>
        </w:rPr>
      </w:pPr>
    </w:p>
    <w:p>
      <w:pPr>
        <w:ind w:left="440" w:right="400" w:firstLine="851"/>
        <w:spacing w:after="0" w:line="308" w:lineRule="auto"/>
        <w:tabs>
          <w:tab w:leader="none" w:pos="168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38" w:lineRule="exact"/>
        <w:rPr>
          <w:rFonts w:ascii="Arial" w:cs="Arial" w:eastAsia="Arial" w:hAnsi="Arial"/>
          <w:sz w:val="17"/>
          <w:szCs w:val="17"/>
          <w:color w:val="auto"/>
        </w:rPr>
      </w:pPr>
    </w:p>
    <w:p>
      <w:pPr>
        <w:ind w:left="440" w:right="20" w:firstLine="851"/>
        <w:spacing w:after="0" w:line="297" w:lineRule="auto"/>
        <w:tabs>
          <w:tab w:leader="none" w:pos="17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58"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275" w:lineRule="exact"/>
        <w:rPr>
          <w:sz w:val="20"/>
          <w:szCs w:val="20"/>
          <w:color w:val="auto"/>
        </w:rPr>
      </w:pPr>
    </w:p>
    <w:p>
      <w:pPr>
        <w:ind w:left="760" w:hanging="316"/>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885"/>
        <w:spacing w:after="0" w:line="286" w:lineRule="auto"/>
        <w:tabs>
          <w:tab w:leader="none" w:pos="1251"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w:t>
      </w:r>
    </w:p>
    <w:p>
      <w:pPr>
        <w:spacing w:after="0" w:line="1"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3" w:name="page14"/>
    <w:bookmarkEnd w:id="13"/>
    <w:p>
      <w:pPr>
        <w:ind w:right="100" w:firstLine="885"/>
        <w:spacing w:after="0" w:line="273" w:lineRule="auto"/>
        <w:tabs>
          <w:tab w:leader="none" w:pos="1261" w:val="left"/>
        </w:tabs>
        <w:numPr>
          <w:ilvl w:val="1"/>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8" w:lineRule="exact"/>
        <w:rPr>
          <w:rFonts w:ascii="Arial" w:cs="Arial" w:eastAsia="Arial" w:hAnsi="Arial"/>
          <w:sz w:val="17"/>
          <w:szCs w:val="17"/>
          <w:color w:val="auto"/>
        </w:rPr>
      </w:pPr>
    </w:p>
    <w:p>
      <w:pPr>
        <w:jc w:val="both"/>
        <w:ind w:right="220" w:firstLine="885"/>
        <w:spacing w:after="0" w:line="279" w:lineRule="auto"/>
        <w:tabs>
          <w:tab w:leader="none" w:pos="1258" w:val="left"/>
        </w:tabs>
        <w:numPr>
          <w:ilvl w:val="1"/>
          <w:numId w:val="16"/>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1" w:lineRule="exact"/>
        <w:rPr>
          <w:rFonts w:ascii="Arial" w:cs="Arial" w:eastAsia="Arial" w:hAnsi="Arial"/>
          <w:sz w:val="17"/>
          <w:szCs w:val="17"/>
          <w:color w:val="auto"/>
        </w:rPr>
      </w:pPr>
    </w:p>
    <w:p>
      <w:pPr>
        <w:ind w:firstLine="885"/>
        <w:spacing w:after="0" w:line="255" w:lineRule="auto"/>
        <w:tabs>
          <w:tab w:leader="none" w:pos="12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93" w:lineRule="exact"/>
        <w:rPr>
          <w:rFonts w:ascii="Arial" w:cs="Arial" w:eastAsia="Arial" w:hAnsi="Arial"/>
          <w:sz w:val="18"/>
          <w:szCs w:val="18"/>
          <w:color w:val="auto"/>
        </w:rPr>
      </w:pPr>
    </w:p>
    <w:p>
      <w:pPr>
        <w:ind w:right="60" w:firstLine="885"/>
        <w:spacing w:after="0" w:line="264" w:lineRule="auto"/>
        <w:tabs>
          <w:tab w:leader="none" w:pos="12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289" w:lineRule="exact"/>
        <w:rPr>
          <w:rFonts w:ascii="Arial" w:cs="Arial" w:eastAsia="Arial" w:hAnsi="Arial"/>
          <w:sz w:val="18"/>
          <w:szCs w:val="18"/>
          <w:color w:val="auto"/>
        </w:rPr>
      </w:pPr>
    </w:p>
    <w:p>
      <w:pPr>
        <w:ind w:left="760" w:hanging="31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and Cooperation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885"/>
        <w:spacing w:after="0" w:line="297" w:lineRule="auto"/>
        <w:tabs>
          <w:tab w:leader="none" w:pos="1261"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Restrictive Covenants Agreement</w:t>
      </w:r>
      <w:r>
        <w:rPr>
          <w:rFonts w:ascii="Arial" w:cs="Arial" w:eastAsia="Arial" w:hAnsi="Arial"/>
          <w:sz w:val="16"/>
          <w:szCs w:val="16"/>
          <w:color w:val="auto"/>
        </w:rPr>
        <w:t>. The Executive acknowledges and agrees that in consideration and as a condition of the Executive’s employment by the Company and in exchange for, among other things, the benefits contained in this Agreement, the Executive will enter into the Restrictive Covenants Agreement, the terms of which are incorporated by reference as material terms of this Agreement. For purposes of this Agreement, the obligations in this Section 7 and those that arise in the Restrictive Covenants Agreement and any other agreement relating to confidentiality, assignment of inventions, or other restrictive covenants shall collectively be referred to as the “Continuing Obligations.”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4" w:name="page15"/>
    <w:bookmarkEnd w:id="14"/>
    <w:p>
      <w:pPr>
        <w:ind w:left="-100" w:firstLine="885"/>
        <w:spacing w:after="0" w:line="291" w:lineRule="auto"/>
        <w:tabs>
          <w:tab w:leader="none" w:pos="117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Third-Party Agreements and Rights</w:t>
      </w:r>
      <w:r>
        <w:rPr>
          <w:rFonts w:ascii="Arial" w:cs="Arial" w:eastAsia="Arial" w:hAnsi="Arial"/>
          <w:sz w:val="16"/>
          <w:szCs w:val="16"/>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67" w:lineRule="exact"/>
        <w:rPr>
          <w:rFonts w:ascii="Arial" w:cs="Arial" w:eastAsia="Arial" w:hAnsi="Arial"/>
          <w:sz w:val="16"/>
          <w:szCs w:val="16"/>
          <w:color w:val="auto"/>
        </w:rPr>
      </w:pPr>
    </w:p>
    <w:p>
      <w:pPr>
        <w:ind w:left="-100" w:right="40" w:firstLine="885"/>
        <w:spacing w:after="0" w:line="289" w:lineRule="auto"/>
        <w:tabs>
          <w:tab w:leader="none" w:pos="116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Litigation and Regulatory Cooperation</w:t>
      </w:r>
      <w:r>
        <w:rPr>
          <w:rFonts w:ascii="Arial" w:cs="Arial" w:eastAsia="Arial" w:hAnsi="Arial"/>
          <w:sz w:val="16"/>
          <w:szCs w:val="16"/>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taking into consideration Executive’s then current business and personal commitments.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7(c).</w:t>
      </w:r>
    </w:p>
    <w:p>
      <w:pPr>
        <w:spacing w:after="0" w:line="166" w:lineRule="exact"/>
        <w:rPr>
          <w:rFonts w:ascii="Arial" w:cs="Arial" w:eastAsia="Arial" w:hAnsi="Arial"/>
          <w:sz w:val="16"/>
          <w:szCs w:val="16"/>
          <w:color w:val="auto"/>
        </w:rPr>
      </w:pPr>
    </w:p>
    <w:p>
      <w:pPr>
        <w:ind w:left="-100" w:right="80" w:firstLine="885"/>
        <w:spacing w:after="0" w:line="290" w:lineRule="auto"/>
        <w:tabs>
          <w:tab w:leader="none" w:pos="117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Relief</w:t>
      </w:r>
      <w:r>
        <w:rPr>
          <w:rFonts w:ascii="Arial" w:cs="Arial" w:eastAsia="Arial" w:hAnsi="Arial"/>
          <w:sz w:val="16"/>
          <w:szCs w:val="16"/>
          <w:color w:val="auto"/>
        </w:rPr>
        <w:t>. The Executive agrees that it would be difficult to measure any damages caused to the Company which might result from any breach by the Executive of the promises incorporated into or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seek an injunction or other appropriate equitable relief to restrain any such breach without showing or proving any actual damage to the Company. In addition, in the event the Executive breaches this Section 7 or the provisions incorporated herein during a period when he is receiving severance payments pursuant to Section 4 or Section 5 hereof, the Company shall have the right to suspend or terminate such severance payments. Such suspension or termination shall not limit the Company’s other options with respect to relief for such breach and shall not relieve the Executive of his duties under this Agreement.</w:t>
      </w:r>
    </w:p>
    <w:p>
      <w:pPr>
        <w:spacing w:after="0" w:line="166" w:lineRule="exact"/>
        <w:rPr>
          <w:rFonts w:ascii="Arial" w:cs="Arial" w:eastAsia="Arial" w:hAnsi="Arial"/>
          <w:sz w:val="16"/>
          <w:szCs w:val="16"/>
          <w:color w:val="auto"/>
        </w:rPr>
      </w:pPr>
    </w:p>
    <w:p>
      <w:pPr>
        <w:ind w:left="-100" w:right="20" w:firstLine="885"/>
        <w:spacing w:after="0" w:line="264" w:lineRule="auto"/>
        <w:tabs>
          <w:tab w:leader="none" w:pos="116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Protected Disclosures and Other Protected Action</w:t>
      </w:r>
      <w:r>
        <w:rPr>
          <w:rFonts w:ascii="Arial" w:cs="Arial" w:eastAsia="Arial" w:hAnsi="Arial"/>
          <w:sz w:val="18"/>
          <w:szCs w:val="18"/>
          <w:color w:val="auto"/>
        </w:rPr>
        <w:t>. Nothing contained in this Agreement limits the Executive’s ability to communicate with any federal, state or local governmental agency or commission, including to provide documents or other information, without notice to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540" w:top="274" w:right="519" w:bottom="1440" w:gutter="0" w:footer="0" w:header="0"/>
        </w:sectPr>
      </w:pPr>
    </w:p>
    <w:bookmarkStart w:id="15" w:name="page16"/>
    <w:bookmarkEnd w:id="15"/>
    <w:p>
      <w:pPr>
        <w:ind w:right="120" w:firstLine="444"/>
        <w:spacing w:after="0" w:line="259" w:lineRule="auto"/>
        <w:tabs>
          <w:tab w:leader="none" w:pos="75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to Jurisdiction</w:t>
      </w:r>
      <w:r>
        <w:rPr>
          <w:rFonts w:ascii="Arial" w:cs="Arial" w:eastAsia="Arial" w:hAnsi="Arial"/>
          <w:sz w:val="18"/>
          <w:szCs w:val="18"/>
          <w:color w:val="auto"/>
        </w:rPr>
        <w: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6" w:lineRule="exact"/>
        <w:rPr>
          <w:rFonts w:ascii="Arial" w:cs="Arial" w:eastAsia="Arial" w:hAnsi="Arial"/>
          <w:sz w:val="18"/>
          <w:szCs w:val="18"/>
          <w:color w:val="auto"/>
        </w:rPr>
      </w:pPr>
    </w:p>
    <w:p>
      <w:pPr>
        <w:ind w:right="100" w:firstLine="444"/>
        <w:spacing w:after="0" w:line="277" w:lineRule="auto"/>
        <w:tabs>
          <w:tab w:leader="none" w:pos="75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Restrictive Covenants Agreement constitute the entire agreement between the parties with respect to the subject matter hereof and supersede all prior agreements between the parties concerning such subject matter.</w:t>
      </w:r>
    </w:p>
    <w:p>
      <w:pPr>
        <w:spacing w:after="0" w:line="170" w:lineRule="exact"/>
        <w:rPr>
          <w:rFonts w:ascii="Arial" w:cs="Arial" w:eastAsia="Arial" w:hAnsi="Arial"/>
          <w:sz w:val="18"/>
          <w:szCs w:val="18"/>
          <w:color w:val="auto"/>
        </w:rPr>
      </w:pPr>
    </w:p>
    <w:p>
      <w:pPr>
        <w:ind w:firstLine="444"/>
        <w:spacing w:after="0" w:line="277" w:lineRule="auto"/>
        <w:tabs>
          <w:tab w:leader="none" w:pos="84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w:t>
      </w:r>
    </w:p>
    <w:p>
      <w:pPr>
        <w:spacing w:after="0" w:line="170" w:lineRule="exact"/>
        <w:rPr>
          <w:rFonts w:ascii="Arial" w:cs="Arial" w:eastAsia="Arial" w:hAnsi="Arial"/>
          <w:sz w:val="18"/>
          <w:szCs w:val="18"/>
          <w:color w:val="auto"/>
        </w:rPr>
      </w:pPr>
    </w:p>
    <w:p>
      <w:pPr>
        <w:ind w:firstLine="444"/>
        <w:spacing w:after="0" w:line="302" w:lineRule="auto"/>
        <w:tabs>
          <w:tab w:leader="none" w:pos="839"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Successor to the Executive</w:t>
      </w:r>
      <w:r>
        <w:rPr>
          <w:rFonts w:ascii="Arial" w:cs="Arial" w:eastAsia="Arial" w:hAnsi="Arial"/>
          <w:sz w:val="16"/>
          <w:szCs w:val="16"/>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to him under this Agreement, the Company shall continue such payments to the Executive’s beneficiary designated in writing to the Company prior to his death (or to his estate, if the Executive fails to make such designation).</w:t>
      </w:r>
    </w:p>
    <w:p>
      <w:pPr>
        <w:spacing w:after="0" w:line="154" w:lineRule="exact"/>
        <w:rPr>
          <w:rFonts w:ascii="Arial" w:cs="Arial" w:eastAsia="Arial" w:hAnsi="Arial"/>
          <w:sz w:val="16"/>
          <w:szCs w:val="16"/>
          <w:color w:val="auto"/>
        </w:rPr>
      </w:pPr>
    </w:p>
    <w:p>
      <w:pPr>
        <w:jc w:val="both"/>
        <w:ind w:right="240" w:firstLine="444"/>
        <w:spacing w:after="0" w:line="302" w:lineRule="auto"/>
        <w:tabs>
          <w:tab w:leader="none" w:pos="84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4" w:lineRule="exact"/>
        <w:rPr>
          <w:rFonts w:ascii="Arial" w:cs="Arial" w:eastAsia="Arial" w:hAnsi="Arial"/>
          <w:sz w:val="16"/>
          <w:szCs w:val="16"/>
          <w:color w:val="auto"/>
        </w:rPr>
      </w:pPr>
    </w:p>
    <w:p>
      <w:pPr>
        <w:ind w:right="620" w:firstLine="444"/>
        <w:spacing w:after="0" w:line="277" w:lineRule="auto"/>
        <w:tabs>
          <w:tab w:leader="none" w:pos="84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70" w:lineRule="exact"/>
        <w:rPr>
          <w:rFonts w:ascii="Arial" w:cs="Arial" w:eastAsia="Arial" w:hAnsi="Arial"/>
          <w:sz w:val="18"/>
          <w:szCs w:val="18"/>
          <w:color w:val="auto"/>
        </w:rPr>
      </w:pPr>
    </w:p>
    <w:p>
      <w:pPr>
        <w:jc w:val="both"/>
        <w:ind w:right="400" w:firstLine="444"/>
        <w:spacing w:after="0" w:line="286" w:lineRule="auto"/>
        <w:tabs>
          <w:tab w:leader="none" w:pos="84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65" w:lineRule="exact"/>
        <w:rPr>
          <w:rFonts w:ascii="Arial" w:cs="Arial" w:eastAsia="Arial" w:hAnsi="Arial"/>
          <w:sz w:val="17"/>
          <w:szCs w:val="17"/>
          <w:color w:val="auto"/>
        </w:rPr>
      </w:pPr>
    </w:p>
    <w:p>
      <w:pPr>
        <w:ind w:right="280" w:firstLine="444"/>
        <w:spacing w:after="0" w:line="259" w:lineRule="auto"/>
        <w:tabs>
          <w:tab w:leader="none" w:pos="84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6" w:name="page17"/>
    <w:bookmarkEnd w:id="16"/>
    <w:p>
      <w:pPr>
        <w:ind w:left="-40" w:right="160" w:firstLine="444"/>
        <w:spacing w:after="0" w:line="277" w:lineRule="auto"/>
        <w:tabs>
          <w:tab w:leader="none" w:pos="80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left="-40" w:right="880" w:firstLine="444"/>
        <w:spacing w:after="0" w:line="277" w:lineRule="auto"/>
        <w:tabs>
          <w:tab w:leader="none" w:pos="80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under and be governed in all respects by the laws of the Commonwealth of Massachusetts, without giving effect to the conflict of laws principles thereof.</w:t>
      </w:r>
    </w:p>
    <w:p>
      <w:pPr>
        <w:spacing w:after="0" w:line="170" w:lineRule="exact"/>
        <w:rPr>
          <w:rFonts w:ascii="Arial" w:cs="Arial" w:eastAsia="Arial" w:hAnsi="Arial"/>
          <w:sz w:val="18"/>
          <w:szCs w:val="18"/>
          <w:color w:val="auto"/>
        </w:rPr>
      </w:pPr>
    </w:p>
    <w:p>
      <w:pPr>
        <w:ind w:left="-40" w:firstLine="444"/>
        <w:spacing w:after="0" w:line="277" w:lineRule="auto"/>
        <w:tabs>
          <w:tab w:leader="none" w:pos="80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rFonts w:ascii="Arial" w:cs="Arial" w:eastAsia="Arial" w:hAnsi="Arial"/>
          <w:sz w:val="18"/>
          <w:szCs w:val="18"/>
          <w:color w:val="auto"/>
        </w:rPr>
      </w:pPr>
    </w:p>
    <w:p>
      <w:pPr>
        <w:ind w:left="-40" w:right="400" w:firstLine="444"/>
        <w:spacing w:after="0" w:line="279" w:lineRule="auto"/>
        <w:tabs>
          <w:tab w:leader="none" w:pos="80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1" w:lineRule="exact"/>
        <w:rPr>
          <w:rFonts w:ascii="Arial" w:cs="Arial" w:eastAsia="Arial" w:hAnsi="Arial"/>
          <w:sz w:val="17"/>
          <w:szCs w:val="17"/>
          <w:color w:val="auto"/>
        </w:rPr>
      </w:pPr>
    </w:p>
    <w:p>
      <w:pPr>
        <w:ind w:left="-40" w:right="100" w:firstLine="444"/>
        <w:spacing w:after="0" w:line="277" w:lineRule="auto"/>
        <w:tabs>
          <w:tab w:leader="none" w:pos="80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Gender Neutral</w:t>
      </w:r>
      <w:r>
        <w:rPr>
          <w:rFonts w:ascii="Arial" w:cs="Arial" w:eastAsia="Arial" w:hAnsi="Arial"/>
          <w:sz w:val="18"/>
          <w:szCs w:val="18"/>
          <w:color w:val="auto"/>
        </w:rPr>
        <w:t>. Wherever used herein, a pronoun in the masculine or feminine gender shall be considered as including the opposite gender as well unless the context clearly indicates otherwise.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WITNESS WHEREOF, the parties have executed this Agreement effective on the date and year first above written.</w:t>
      </w:r>
    </w:p>
    <w:p>
      <w:pPr>
        <w:spacing w:after="0" w:line="248"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58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14605</wp:posOffset>
            </wp:positionV>
            <wp:extent cx="24269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Geoff MacKay</w:t>
      </w:r>
    </w:p>
    <w:p>
      <w:pPr>
        <w:spacing w:after="0" w:line="23" w:lineRule="exact"/>
        <w:rPr>
          <w:sz w:val="20"/>
          <w:szCs w:val="20"/>
          <w:color w:val="auto"/>
        </w:rPr>
      </w:pPr>
    </w:p>
    <w:p>
      <w:pPr>
        <w:ind w:left="6580"/>
        <w:spacing w:after="0"/>
        <w:tabs>
          <w:tab w:leader="none" w:pos="714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14605</wp:posOffset>
            </wp:positionV>
            <wp:extent cx="27959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Erik Ostrowski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4" w:right="479" w:bottom="1440" w:gutter="0" w:footer="0" w:header="0"/>
        </w:sectPr>
      </w:pPr>
    </w:p>
    <w:bookmarkStart w:id="17" w:name="page18"/>
    <w:bookmarkEnd w:id="17"/>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Approved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Restrictive Covenants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270"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031990" cy="2298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199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Press Releases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AVROBIO, Inc. Expands and Strengthens Leadership Team with Four Senior Management Hires</w:t>
      </w:r>
    </w:p>
    <w:p>
      <w:pPr>
        <w:spacing w:after="0" w:line="200" w:lineRule="exact"/>
        <w:rPr>
          <w:sz w:val="20"/>
          <w:szCs w:val="20"/>
          <w:color w:val="auto"/>
        </w:rPr>
      </w:pPr>
    </w:p>
    <w:p>
      <w:pPr>
        <w:spacing w:after="0" w:line="237" w:lineRule="exact"/>
        <w:rPr>
          <w:sz w:val="20"/>
          <w:szCs w:val="20"/>
          <w:color w:val="auto"/>
        </w:rPr>
      </w:pPr>
    </w:p>
    <w:p>
      <w:pPr>
        <w:jc w:val="center"/>
        <w:ind w:left="460" w:right="480"/>
        <w:spacing w:after="0" w:line="282" w:lineRule="auto"/>
        <w:rPr>
          <w:sz w:val="20"/>
          <w:szCs w:val="20"/>
          <w:color w:val="auto"/>
        </w:rPr>
      </w:pPr>
      <w:r>
        <w:rPr>
          <w:rFonts w:ascii="Arial" w:cs="Arial" w:eastAsia="Arial" w:hAnsi="Arial"/>
          <w:sz w:val="18"/>
          <w:szCs w:val="18"/>
          <w:b w:val="1"/>
          <w:bCs w:val="1"/>
          <w:color w:val="auto"/>
        </w:rPr>
        <w:t>Birgitte Volck, M.D., Ph.D., is appointed President of Research and Development and will oversee clinical, regulatory, research and manufacturing</w:t>
      </w:r>
    </w:p>
    <w:p>
      <w:pPr>
        <w:spacing w:after="0" w:line="16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CAMBRIDGE, Mass., Dec. 18, 2018 (GLOBE NEWSWIRE) — AVROBIO, Inc. (NASDAQ: AVRO), (“The Company”) a Phase 2 clinical-stage gene therapy company, today announced the appointment of four key senior management hires to expand and strengthen its leadership team as it prepares for the next stage of growth.</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All four leaders will be in place in January 2019 and sit on AVROBIO’s executive leadership team. Three of them, Birgitte Volck, M.D., Ph.D., President of Research and Development, Erik Ostrowski, Chief Financial Officer, and Steven Avruch, General Counsel, will report to AVROBIO’s President and CEO, Geoff MacKay. The fourth, Josie Yang, Ph.D., Vice President and Head of Regulatory Affairs, will report to Dr. Volck. With these changes, Katina Dorton and Nerissa Kreher, M.D., are leaving their roles as Chief Financial Officer and Chief Medical Officer of the company, respectively. Dr. Kreher will continue in a transitional role as a clinical advisor to AVROBIO during the first quarter of 2019.</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“I’m delighted that these four world class leaders in their fields of R&amp;D, finance, legal and regulatory affairs have chosen to bring their leadership skills and expertise to AVROBIO at this important time, as we bring more programs into the clinic and scale our operations around the world,” said Geoff MacKay, President and CEO of AVROBIO. “We searched worldwide and locally to find the very best talents. Birgitte, Erik, Steven and Josie are all excited to play a</w:t>
      </w:r>
    </w:p>
    <w:p>
      <w:pPr>
        <w:sectPr>
          <w:pgSz w:w="11900" w:h="16838" w:orient="portrait"/>
          <w:cols w:equalWidth="0" w:num="1">
            <w:col w:w="11020"/>
          </w:cols>
          <w:pgMar w:left="440" w:top="121" w:right="43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major part in the next chapters of AVROBIO’s growth as we work to advance potentially curative gene therapies to treat rare diseases. I would also like to thank both Katina and Nerissa for their significant contributions to AVROBIO, helping to build us into the company we are today; well capitalized via a strong investor base, with our Phase 2 Fabry clinical trial FAB-201 initiated, and a broad pipeline of first-in-class assets.”</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Dr. Birgitte Volck, AVROBIO’s President of Research and Development, is the former Senior Vice President and Head of R&amp;D, Rare Disease at GSK in the UK, where among other responsibilities, she oversaw ex-vivo gene therapy programs for orphan disease indications. A seasoned biotech executive and R&amp;D leader, she is currently a non-executive board member at Ascendis Pharma, a rare disease focused technology platform biopharmaceutical company, as well as at TFS International, a contract research organization. Prior to GSK, Birgitte was Chief Medical Officer and SVP, Head of Development at Swedish Orphan Biovitrum (SOBI), a biopharmaceutical company, leading the development of their portfolio of products and product candidates in rare diseases across hemophilia, inflammation, metabolism, neonatology and genetics. In addition, Birgitte has held senior R&amp;D and medical affairs positions with Genzyme, Pharmexa and Amgen where she led early and late stage programs and worked with product commercialization from pre-approval to launch and lifecycle management. She received her M.D. and Ph.D. degrees from Copenhagen University, Denmark, where she is now an external lecturer.</w:t>
      </w:r>
    </w:p>
    <w:p>
      <w:pPr>
        <w:spacing w:after="0" w:line="18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Erik Ostrowski, AVROBIO’s Chief Financial Officer, brings over 20 years of finance and biotech operating experience, including with a focus on rare diseases and cell-based therapies. He was previously CFO at Summit Therapeutics where he led the finance and investor relations functions and was instrumental in the build-out of the company’s U.S. and global operations. In addition, he led several financings and played a key role in multiple strategic transactions. Prior to joining Summit, Erik was Vice President of Finance at Organogenesis Inc., and previously worked in investment banking including as a Director of Healthcare Investment Banking with Leerink Partners. Erik began his career as an accountant with PricewaterhouseCoopers and received a BS in accounting and economics from Babson College and an MBA from the University of Chicago Booth School of Business.</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Steven Avruch, AVROBIO’s General Counsel, was Chief Corporation Counsel and Assistant Secretary (VP) at Biogen Inc., and prior to that worked at Biogen as an Associate General Counsel. A corporate attorney, Steven has more than 25 years of experience in a broad range of industries including life sciences and technology companies. He graduated with an AB in Russian Studies from Dartmouth College, and later earned his Juris Doctor from Boston College Law School. He serves on the Board of Directors of the Boston Center for the Arts.</w:t>
      </w:r>
    </w:p>
    <w:p>
      <w:pPr>
        <w:sectPr>
          <w:pgSz w:w="11900" w:h="16838" w:orient="portrait"/>
          <w:cols w:equalWidth="0" w:num="1">
            <w:col w:w="11020"/>
          </w:cols>
          <w:pgMar w:left="440" w:top="274" w:right="439" w:bottom="1440" w:gutter="0" w:footer="0" w:header="0"/>
        </w:sectPr>
      </w:pPr>
    </w:p>
    <w:bookmarkStart w:id="21" w:name="page22"/>
    <w:bookmarkEnd w:id="21"/>
    <w:p>
      <w:pPr>
        <w:ind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 Josie Yang, AVROBIO’s Head of Regulatory Affairs, has over 25 years of experience in biomedical research in the U.S. Food and Drug Administration, and in bio-pharmaceutical industries including in regulatory affairs across all stages of drug development with biologics and small molecules in oncology, anti-inflammatory, gastroenterology and neurology therapeutic areas. Josie held leadership positions as VP and Head of Global Regulatory Strategy at PTC Therapeutics, a global biopharma company, and an Associate VP, Global Regulatory Affairs at ImClone Systems/Eli Lilly and Company. She has a DVM from National Taiwan University and a Ph.D. in Immunology from Auburn University.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 Inc.</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AVROBIO, Inc., is a Phase 2 clinical-stage gene therapy company developing gene therapies to potentially cure rare diseases with a single dose. AVROBIO’s lentiviral-based gene therapies employ hematopoietic stem cells that are collected from the patient and then modified with a lentiviral vector to insert a functional copy of the gene that is defective in the target disease. AVROBIO is focused on the development of its gene therapy, AVR-RD-01, in Fabry disease, as well as additional gene therapy programs in other lysosomal storage disorders including Gaucher disease, cystinosis and Pompe disease. AVROBIO is headquartered in Cambridge, MA and has offices in Toronto, ON. For additional information, visit www.avrobio.com.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Various express or implied statements in this release concerning AVROBIO’s future expectations, plans and prospects, including without limitation, its expectations regarding the development and the continued progress of AVROBIO’s programs, including the therapeutic potential of its product candidates and the development thereof, the advancement of AVROBIO’s product candidates into the clinic and scaling of AVROBIO’s operations, and AVROBIO’s pipeline of assets and financial position and investor base, constitute forward- looking statements for the purposes of the safe harbor provisions under The Private Securities Litigation Reform Act of 1995. Any such statements in this press release that are not statements of historical fact may be deemed to be forward-looking statements. Any forward-looking statements in this press release are based on management’s current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of AVROBIO’s ongoing or planned clinical trials, the risk that AVROBIO may not realize the intended benefits of efforts to optimize its platform, and the risk that prior results, such as signals of safety, activity or durability of effect, observed from preclinical or clinical trials will not be replicated or will not continue in ongoing or future studies or trials involving AVROBIO’s product candidates. For a discussion of these and other risks and uncertainties, and other important factors, any of which could cause</w:t>
      </w:r>
    </w:p>
    <w:p>
      <w:pPr>
        <w:sectPr>
          <w:pgSz w:w="11900" w:h="16838" w:orient="portrait"/>
          <w:cols w:equalWidth="0" w:num="1">
            <w:col w:w="11020"/>
          </w:cols>
          <w:pgMar w:left="440" w:top="274" w:right="43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AVROBIO’s actual results to differ from those contained in the forward-looking statements, see the section entitled “Risk Factors” in AVROBIO’s Quarterly Report on Form 10-Q for the quarter ended September 30, 2018,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Investor Contact: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Westwicke Partners 339-970-2843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chris.brinzey@westwicke.com</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Media Contact: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Kathryn Morris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 914-204-6412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kathryn@theyatesnetwork.com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1346200" cy="368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620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Source: AVROBIO, Inc.</w:t>
      </w:r>
    </w:p>
    <w:sectPr>
      <w:pgSz w:w="11900" w:h="16838" w:orient="portrait"/>
      <w:cols w:equalWidth="0" w:num="1">
        <w:col w:w="10820"/>
      </w:cols>
      <w:pgMar w:left="440" w:top="27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lvl w:ilvl="1">
      <w:lvlJc w:val="left"/>
      <w:lvlText w:val="(%2)"/>
      <w:numFmt w:val="lowerLetter"/>
      <w:start w:val="1"/>
    </w:lvl>
  </w:abstractNum>
  <w:abstractNum w:abstractNumId="2">
    <w:nsid w:val="1190CDE7"/>
    <w:multiLevelType w:val="hybridMultilevel"/>
    <w:lvl w:ilvl="0">
      <w:lvlJc w:val="left"/>
      <w:lvlText w:val="%1."/>
      <w:numFmt w:val="decimal"/>
      <w:start w:val="2"/>
    </w:lvl>
    <w:lvl w:ilvl="1">
      <w:lvlJc w:val="left"/>
      <w:lvlText w:val="(%2)"/>
      <w:numFmt w:val="lowerLetter"/>
      <w:start w:val="1"/>
    </w:lvl>
  </w:abstractNum>
  <w:abstractNum w:abstractNumId="3">
    <w:nsid w:val="66EF438D"/>
    <w:multiLevelType w:val="hybridMultilevel"/>
    <w:lvl w:ilvl="0">
      <w:lvlJc w:val="left"/>
      <w:lvlText w:val="%1"/>
      <w:numFmt w:val="decimal"/>
      <w:start w:val="1"/>
    </w:lvl>
    <w:lvl w:ilvl="1">
      <w:lvlJc w:val="left"/>
      <w:lvlText w:val="(%2)"/>
      <w:numFmt w:val="lowerLetter"/>
      <w:start w:val="7"/>
    </w:lvl>
  </w:abstractNum>
  <w:abstractNum w:abstractNumId="4">
    <w:nsid w:val="140E0F76"/>
    <w:multiLevelType w:val="hybridMultilevel"/>
    <w:lvl w:ilvl="0">
      <w:lvlJc w:val="left"/>
      <w:lvlText w:val="%1."/>
      <w:numFmt w:val="decimal"/>
      <w:start w:val="3"/>
    </w:lvl>
    <w:lvl w:ilvl="1">
      <w:lvlJc w:val="left"/>
      <w:lvlText w:val="(%2)"/>
      <w:numFmt w:val="lowerLetter"/>
      <w:start w:val="1"/>
    </w:lvl>
  </w:abstractNum>
  <w:abstractNum w:abstractNumId="5">
    <w:nsid w:val="3352255A"/>
    <w:multiLevelType w:val="hybridMultilevel"/>
    <w:lvl w:ilvl="0">
      <w:lvlJc w:val="left"/>
      <w:lvlText w:val="(%1)"/>
      <w:numFmt w:val="lowerLetter"/>
      <w:start w:val="4"/>
    </w:lvl>
  </w:abstractNum>
  <w:abstractNum w:abstractNumId="6">
    <w:nsid w:val="109CF92E"/>
    <w:multiLevelType w:val="hybridMultilevel"/>
    <w:lvl w:ilvl="0">
      <w:lvlJc w:val="left"/>
      <w:lvlText w:val="%1"/>
      <w:numFmt w:val="decimal"/>
      <w:start w:val="1"/>
    </w:lvl>
    <w:lvl w:ilvl="1">
      <w:lvlJc w:val="left"/>
      <w:lvlText w:val="(%2)"/>
      <w:numFmt w:val="lowerLetter"/>
      <w:start w:val="6"/>
    </w:lvl>
  </w:abstractNum>
  <w:abstractNum w:abstractNumId="7">
    <w:nsid w:val="DED7263"/>
    <w:multiLevelType w:val="hybridMultilevel"/>
    <w:lvl w:ilvl="0">
      <w:lvlJc w:val="left"/>
      <w:lvlText w:val="%1."/>
      <w:numFmt w:val="decimal"/>
      <w:start w:val="4"/>
    </w:lvl>
    <w:lvl w:ilvl="1">
      <w:lvlJc w:val="left"/>
      <w:lvlText w:val="(%2)"/>
      <w:numFmt w:val="lowerLetter"/>
      <w:start w:val="1"/>
    </w:lvl>
  </w:abstractNum>
  <w:abstractNum w:abstractNumId="8">
    <w:nsid w:val="7FDCC233"/>
    <w:multiLevelType w:val="hybridMultilevel"/>
    <w:lvl w:ilvl="0">
      <w:lvlJc w:val="left"/>
      <w:lvlText w:val="%1"/>
      <w:numFmt w:val="decimal"/>
      <w:start w:val="1"/>
    </w:lvl>
    <w:lvl w:ilvl="1">
      <w:lvlJc w:val="left"/>
      <w:lvlText w:val="(%2)"/>
      <w:numFmt w:val="lowerRoman"/>
      <w:start w:val="1"/>
    </w:lvl>
  </w:abstractNum>
  <w:abstractNum w:abstractNumId="9">
    <w:nsid w:val="1BEFD79F"/>
    <w:multiLevelType w:val="hybridMultilevel"/>
    <w:lvl w:ilvl="0">
      <w:lvlJc w:val="left"/>
      <w:lvlText w:val="%1."/>
      <w:numFmt w:val="decimal"/>
      <w:start w:val="5"/>
    </w:lvl>
    <w:lvl w:ilvl="1">
      <w:lvlJc w:val="left"/>
      <w:lvlText w:val="%2"/>
      <w:numFmt w:val="lowerRoman"/>
      <w:start w:val="1"/>
    </w:lvl>
  </w:abstractNum>
  <w:abstractNum w:abstractNumId="10">
    <w:nsid w:val="41A7C4C9"/>
    <w:multiLevelType w:val="hybridMultilevel"/>
    <w:lvl w:ilvl="0">
      <w:lvlJc w:val="left"/>
      <w:lvlText w:val="(%1)"/>
      <w:numFmt w:val="lowerLetter"/>
      <w:start w:val="1"/>
    </w:lvl>
    <w:lvl w:ilvl="1">
      <w:lvlJc w:val="left"/>
      <w:lvlText w:val="(%2)"/>
      <w:numFmt w:val="lowerRoman"/>
      <w:start w:val="1"/>
    </w:lvl>
  </w:abstractNum>
  <w:abstractNum w:abstractNumId="11">
    <w:nsid w:val="6B68079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2"/>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1)"/>
      <w:numFmt w:val="lowerRoman"/>
      <w:start w:val="2"/>
    </w:lvl>
  </w:abstractNum>
  <w:abstractNum w:abstractNumId="14">
    <w:nsid w:val="519B500D"/>
    <w:multiLevelType w:val="hybridMultilevel"/>
    <w:lvl w:ilvl="0">
      <w:lvlJc w:val="left"/>
      <w:lvlText w:val="%1."/>
      <w:numFmt w:val="decimal"/>
      <w:start w:val="6"/>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2"/>
    </w:lvl>
  </w:abstractNum>
  <w:abstractNum w:abstractNumId="16">
    <w:nsid w:val="3F2DBA31"/>
    <w:multiLevelType w:val="hybridMultilevel"/>
    <w:lvl w:ilvl="0">
      <w:lvlJc w:val="left"/>
      <w:lvlText w:val="%1."/>
      <w:numFmt w:val="decimal"/>
      <w:start w:val="7"/>
    </w:lvl>
    <w:lvl w:ilvl="1">
      <w:lvlJc w:val="left"/>
      <w:lvlText w:val="(%2)"/>
      <w:numFmt w:val="lowerLetter"/>
      <w:start w:val="1"/>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1."/>
      <w:numFmt w:val="decimal"/>
      <w:start w:val="8"/>
    </w:lvl>
  </w:abstractNum>
  <w:abstractNum w:abstractNumId="19">
    <w:nsid w:val="62BBD95A"/>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2019-12-28T17:12:28Z</dcterms:created>
  <dcterms:modified xsi:type="dcterms:W3CDTF">2019-12-28T17:12:28Z</dcterms:modified>
</cp:coreProperties>
</file>