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740" w:right="1740" w:hanging="3732"/>
        <w:spacing w:after="0" w:line="360" w:lineRule="auto"/>
        <w:tabs>
          <w:tab w:leader="none" w:pos="51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2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r>
      <w:tr>
        <w:trPr>
          <w:trHeight w:val="318"/>
        </w:trPr>
        <w:tc>
          <w:tcPr>
            <w:tcW w:w="40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640" w:type="dxa"/>
        <w:tblCellMar>
          <w:top w:w="0" w:type="dxa"/>
          <w:left w:w="0" w:type="dxa"/>
          <w:bottom w:w="0" w:type="dxa"/>
          <w:right w:w="0" w:type="dxa"/>
        </w:tblCellMar>
      </w:tblPr>
      <w:tr>
        <w:trPr>
          <w:trHeight w:val="214"/>
        </w:trPr>
        <w:tc>
          <w:tcPr>
            <w:tcW w:w="438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9"/>
        </w:trPr>
        <w:tc>
          <w:tcPr>
            <w:tcW w:w="4380" w:type="dxa"/>
            <w:vAlign w:val="bottom"/>
          </w:tcPr>
          <w:p>
            <w:pPr>
              <w:jc w:val="center"/>
              <w:ind w:right="19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8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38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rPr>
              <w:t>One Kendall Square</w:t>
            </w:r>
          </w:p>
        </w:tc>
        <w:tc>
          <w:tcPr>
            <w:tcW w:w="3140" w:type="dxa"/>
            <w:vAlign w:val="bottom"/>
          </w:tcPr>
          <w:p>
            <w:pPr>
              <w:spacing w:after="0"/>
              <w:rPr>
                <w:sz w:val="22"/>
                <w:szCs w:val="22"/>
                <w:color w:val="auto"/>
              </w:rPr>
            </w:pPr>
          </w:p>
        </w:tc>
      </w:tr>
      <w:tr>
        <w:trPr>
          <w:trHeight w:val="216"/>
        </w:trPr>
        <w:tc>
          <w:tcPr>
            <w:tcW w:w="438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rPr>
              <w:t>Building 300, Suite 201</w:t>
            </w:r>
          </w:p>
        </w:tc>
        <w:tc>
          <w:tcPr>
            <w:tcW w:w="31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14"/>
        </w:trPr>
        <w:tc>
          <w:tcPr>
            <w:tcW w:w="438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140" w:type="dxa"/>
            <w:vAlign w:val="bottom"/>
          </w:tcPr>
          <w:p>
            <w:pPr>
              <w:spacing w:after="0"/>
              <w:rPr>
                <w:sz w:val="18"/>
                <w:szCs w:val="18"/>
                <w:color w:val="auto"/>
              </w:rPr>
            </w:pPr>
          </w:p>
        </w:tc>
      </w:tr>
      <w:tr>
        <w:trPr>
          <w:trHeight w:val="190"/>
        </w:trPr>
        <w:tc>
          <w:tcPr>
            <w:tcW w:w="4380" w:type="dxa"/>
            <w:vAlign w:val="bottom"/>
          </w:tcPr>
          <w:p>
            <w:pPr>
              <w:jc w:val="center"/>
              <w:ind w:right="19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jc w:val="center"/>
              <w:ind w:left="19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vMerge w:val="restart"/>
          </w:tcPr>
          <w:p>
            <w:pPr>
              <w:spacing w:after="0"/>
              <w:rPr>
                <w:sz w:val="13"/>
                <w:szCs w:val="13"/>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4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AVRO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5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90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5, 2019, the registrant had 31,667,901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742950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 w:name="page2"/>
    <w:bookmarkEnd w:id="1"/>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Signatures</w:t>
        </w:r>
      </w:hyperlink>
    </w:p>
    <w:p>
      <w:pPr>
        <w:spacing w:after="0" w:line="20" w:lineRule="exact"/>
        <w:rPr>
          <w:sz w:val="20"/>
          <w:szCs w:val="20"/>
          <w:color w:val="auto"/>
        </w:rPr>
      </w:pPr>
      <w:r>
        <w:rPr>
          <w:sz w:val="20"/>
          <w:szCs w:val="20"/>
          <w:color w:val="auto"/>
        </w:rPr>
        <w:br w:type="column"/>
      </w:r>
    </w:p>
    <w:p>
      <w:pPr>
        <w:jc w:val="center"/>
        <w:ind w:left="-2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FINANCIAL INFORMATION</w:t>
        </w:r>
      </w:hyperlink>
    </w:p>
    <w:p>
      <w:pPr>
        <w:spacing w:after="0" w:line="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Balance Sheets</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Statements of Operations and Comprehensive Loss</w:t>
        </w:r>
      </w:hyperlink>
    </w:p>
    <w:p>
      <w:pPr>
        <w:spacing w:after="0" w:line="23"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
        <w:r>
          <w:rPr>
            <w:rFonts w:ascii="Times New Roman" w:cs="Times New Roman" w:eastAsia="Times New Roman" w:hAnsi="Times New Roman"/>
            <w:sz w:val="17"/>
            <w:szCs w:val="17"/>
            <w:u w:val="single" w:color="auto"/>
            <w:color w:val="0000EE"/>
          </w:rPr>
          <w:t>Statements of Redeemable Convertible Preferred Stock and Stockholders’ Equity (Deficit)</w:t>
        </w:r>
      </w:hyperlink>
    </w:p>
    <w:p>
      <w:pPr>
        <w:spacing w:after="0" w:line="3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Statements of Cash Flows</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Financial Statements</w:t>
        </w:r>
      </w:hyperlink>
    </w:p>
    <w:p>
      <w:pPr>
        <w:spacing w:after="0" w:line="23" w:lineRule="exact"/>
        <w:rPr>
          <w:sz w:val="20"/>
          <w:szCs w:val="20"/>
          <w:color w:val="auto"/>
        </w:rPr>
      </w:pPr>
    </w:p>
    <w:p>
      <w:pPr>
        <w:ind w:right="2660"/>
        <w:spacing w:after="0" w:line="266" w:lineRule="auto"/>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r>
        <w:rPr>
          <w:rFonts w:ascii="Times New Roman" w:cs="Times New Roman" w:eastAsia="Times New Roman" w:hAnsi="Times New Roman"/>
          <w:sz w:val="18"/>
          <w:szCs w:val="18"/>
          <w:u w:val="single" w:color="auto"/>
          <w:color w:val="0000EE"/>
        </w:rPr>
        <w:t xml:space="preserve"> </w:t>
      </w:r>
      <w:hyperlink w:anchor="page38">
        <w:r>
          <w:rPr>
            <w:rFonts w:ascii="Times New Roman" w:cs="Times New Roman" w:eastAsia="Times New Roman" w:hAnsi="Times New Roman"/>
            <w:sz w:val="18"/>
            <w:szCs w:val="18"/>
            <w:u w:val="single" w:color="auto"/>
            <w:color w:val="0000EE"/>
          </w:rPr>
          <w:t>Quantitative and Qualitative Disclosures About Market Risk</w:t>
        </w:r>
      </w:hyperlink>
      <w:r>
        <w:rPr>
          <w:rFonts w:ascii="Times New Roman" w:cs="Times New Roman" w:eastAsia="Times New Roman" w:hAnsi="Times New Roman"/>
          <w:sz w:val="18"/>
          <w:szCs w:val="18"/>
          <w:u w:val="single" w:color="auto"/>
          <w:color w:val="0000EE"/>
        </w:rPr>
        <w:t xml:space="preserve"> </w:t>
      </w:r>
      <w:hyperlink w:anchor="page39">
        <w:r>
          <w:rPr>
            <w:rFonts w:ascii="Times New Roman" w:cs="Times New Roman" w:eastAsia="Times New Roman" w:hAnsi="Times New Roman"/>
            <w:sz w:val="18"/>
            <w:szCs w:val="18"/>
            <w:u w:val="single" w:color="auto"/>
            <w:color w:val="0000EE"/>
          </w:rPr>
          <w:t>Controls and Procedures</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b w:val="1"/>
          <w:bCs w:val="1"/>
          <w:u w:val="single" w:color="auto"/>
          <w:color w:val="0000EE"/>
        </w:rPr>
      </w:pPr>
      <w:hyperlink w:anchor="page40">
        <w:r>
          <w:rPr>
            <w:rFonts w:ascii="Times New Roman" w:cs="Times New Roman" w:eastAsia="Times New Roman" w:hAnsi="Times New Roman"/>
            <w:sz w:val="18"/>
            <w:szCs w:val="18"/>
            <w:b w:val="1"/>
            <w:bCs w:val="1"/>
            <w:u w:val="single" w:color="auto"/>
            <w:color w:val="0000EE"/>
          </w:rPr>
          <w:t>OTHER INFORMATION</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Legal Proceedings</w:t>
        </w:r>
      </w:hyperlink>
    </w:p>
    <w:p>
      <w:pPr>
        <w:spacing w:after="0" w:line="2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Risk Factors</w:t>
        </w:r>
      </w:hyperlink>
    </w:p>
    <w:p>
      <w:pPr>
        <w:spacing w:after="0" w:line="2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Unregistered Sales of Equity Securities and Use of Proceeds</w:t>
        </w:r>
      </w:hyperlink>
    </w:p>
    <w:p>
      <w:pPr>
        <w:spacing w:after="0" w:line="2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Defaults Upon Senior Securities</w:t>
        </w:r>
      </w:hyperlink>
    </w:p>
    <w:p>
      <w:pPr>
        <w:spacing w:after="0" w:line="2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Mine Safety Disclosures</w:t>
        </w:r>
      </w:hyperlink>
    </w:p>
    <w:p>
      <w:pPr>
        <w:spacing w:after="0" w:line="2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Other Information</w:t>
        </w:r>
      </w:hyperlink>
    </w:p>
    <w:p>
      <w:pPr>
        <w:spacing w:after="0" w:line="2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Exhibits</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80" w:lineRule="exact"/>
        <w:rPr>
          <w:rFonts w:ascii="Times New Roman" w:cs="Times New Roman" w:eastAsia="Times New Roman" w:hAnsi="Times New Roman"/>
          <w:sz w:val="18"/>
          <w:szCs w:val="18"/>
          <w:u w:val="single" w:color="auto"/>
          <w:color w:val="0000EE"/>
        </w:rPr>
      </w:pPr>
    </w:p>
    <w:p>
      <w:pPr>
        <w:jc w:val="center"/>
        <w:ind w:lef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-641985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10"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-171450</wp:posOffset>
            </wp:positionH>
            <wp:positionV relativeFrom="paragraph">
              <wp:posOffset>7620</wp:posOffset>
            </wp:positionV>
            <wp:extent cx="480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7"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3"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3"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34</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35</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36</w:t>
      </w:r>
    </w:p>
    <w:p>
      <w:pPr>
        <w:spacing w:after="0" w:line="9"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78</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78</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78</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78</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79</w:t>
      </w:r>
    </w:p>
    <w:p>
      <w:pPr>
        <w:spacing w:after="0" w:line="23" w:lineRule="exact"/>
        <w:rPr>
          <w:rFonts w:ascii="Times New Roman" w:cs="Times New Roman" w:eastAsia="Times New Roman" w:hAnsi="Times New Roman"/>
          <w:sz w:val="18"/>
          <w:szCs w:val="18"/>
          <w:u w:val="single" w:color="auto"/>
          <w:color w:val="0000EE"/>
        </w:rPr>
      </w:pPr>
    </w:p>
    <w:p>
      <w:pPr>
        <w:ind w:left="30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3">
            <w:col w:w="760" w:space="140"/>
            <w:col w:w="9120" w:space="720"/>
            <w:col w:w="480"/>
          </w:cols>
          <w:pgMar w:left="34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Information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7" w:lineRule="exact"/>
        <w:rPr>
          <w:sz w:val="20"/>
          <w:szCs w:val="20"/>
          <w:color w:val="auto"/>
        </w:rPr>
      </w:pPr>
    </w:p>
    <w:p>
      <w:pPr>
        <w:ind w:left="900" w:right="100" w:hanging="379"/>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programs and product candidates, including statements regarding the timing of initiation, enrollment and completion of studies or trials and related preparatory work, the period during which the results of the trials will become available and our research and development programs;</w:t>
      </w:r>
    </w:p>
    <w:p>
      <w:pPr>
        <w:spacing w:after="0" w:line="68" w:lineRule="exact"/>
        <w:rPr>
          <w:rFonts w:ascii="Times New Roman" w:cs="Times New Roman" w:eastAsia="Times New Roman" w:hAnsi="Times New Roman"/>
          <w:sz w:val="18"/>
          <w:szCs w:val="18"/>
          <w:color w:val="auto"/>
        </w:rPr>
      </w:pPr>
    </w:p>
    <w:p>
      <w:pPr>
        <w:ind w:left="900" w:right="520" w:hanging="379"/>
        <w:spacing w:after="0" w:line="313"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30" w:lineRule="exact"/>
        <w:rPr>
          <w:rFonts w:ascii="Times New Roman" w:cs="Times New Roman" w:eastAsia="Times New Roman" w:hAnsi="Times New Roman"/>
          <w:sz w:val="17"/>
          <w:szCs w:val="17"/>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timely enroll patients in and successfully complete, clinical studies;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for our product candidates, if approved for commercial use;</w:t>
      </w:r>
    </w:p>
    <w:p>
      <w:pPr>
        <w:spacing w:after="0" w:line="117" w:lineRule="exact"/>
        <w:rPr>
          <w:rFonts w:ascii="Times New Roman" w:cs="Times New Roman" w:eastAsia="Times New Roman" w:hAnsi="Times New Roman"/>
          <w:sz w:val="18"/>
          <w:szCs w:val="18"/>
          <w:color w:val="auto"/>
        </w:rPr>
      </w:pPr>
    </w:p>
    <w:p>
      <w:pPr>
        <w:ind w:left="900" w:right="100" w:hanging="379"/>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scalability and commercial viability of our manufacturing methods and processes, including our use of cryopreservation and implementation of a closed, automated manufacturing system;</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in particular, and gene therapy, in general;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or obtain additional funding;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and/or our licensors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3" w:name="page4"/>
    <w:bookmarkEnd w:id="3"/>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reserves;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100" w:hanging="379"/>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including without limitation recently enacted tax reform legislation;</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are an emerging growth company under the Jumpstart Our Business Startups Act of 2012, as amended, or the JOBS Act;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206,362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126,302</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130,020</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FF0FC"/>
          </w:tcPr>
          <w:p>
            <w:pPr>
              <w:spacing w:after="0"/>
              <w:rPr>
                <w:sz w:val="19"/>
                <w:szCs w:val="19"/>
                <w:color w:val="auto"/>
              </w:rPr>
            </w:pPr>
          </w:p>
        </w:tc>
      </w:tr>
      <w:tr>
        <w:trPr>
          <w:trHeight w:val="263"/>
        </w:trPr>
        <w:tc>
          <w:tcPr>
            <w:tcW w:w="71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217,205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133,479</w:t>
            </w:r>
          </w:p>
        </w:tc>
        <w:tc>
          <w:tcPr>
            <w:tcW w:w="120" w:type="dxa"/>
            <w:vAlign w:val="bottom"/>
            <w:tcBorders>
              <w:bottom w:val="single" w:sz="8" w:color="CFF0FC"/>
            </w:tcBorders>
          </w:tcPr>
          <w:p>
            <w:pPr>
              <w:spacing w:after="0"/>
              <w:rPr>
                <w:sz w:val="22"/>
                <w:szCs w:val="22"/>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2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20" w:type="dxa"/>
            <w:vAlign w:val="bottom"/>
            <w:shd w:val="clear" w:color="auto" w:fill="CFF0FC"/>
          </w:tcPr>
          <w:p>
            <w:pPr>
              <w:spacing w:after="0"/>
              <w:rPr>
                <w:sz w:val="19"/>
                <w:szCs w:val="19"/>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and no shares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or outstanding as of September 30, 2019 and December 31, 2018</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150,000,000 shares authorized as of September 30,</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2019 and December 31, 2018; 31,667,661 and 23,959,903 shares issued as of</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September 30, 2019 and December 31, 2018, respectively; 31,606,648 and</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23,806,628 shares outstanding as of September 30, 2019 and December 31, 2018,</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193,921</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(122,042)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(71,739)</w:t>
            </w:r>
          </w:p>
        </w:tc>
      </w:tr>
      <w:tr>
        <w:trPr>
          <w:trHeight w:val="223"/>
        </w:trPr>
        <w:tc>
          <w:tcPr>
            <w:tcW w:w="71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122,184</w:t>
            </w:r>
          </w:p>
        </w:tc>
        <w:tc>
          <w:tcPr>
            <w:tcW w:w="120" w:type="dxa"/>
            <w:vAlign w:val="bottom"/>
            <w:tcBorders>
              <w:bottom w:val="single" w:sz="8" w:color="CFF0FC"/>
            </w:tcBorders>
          </w:tcPr>
          <w:p>
            <w:pPr>
              <w:spacing w:after="0"/>
              <w:rPr>
                <w:sz w:val="19"/>
                <w:szCs w:val="19"/>
                <w:color w:val="auto"/>
              </w:rPr>
            </w:pPr>
          </w:p>
        </w:tc>
      </w:tr>
      <w:tr>
        <w:trPr>
          <w:trHeight w:val="223"/>
        </w:trPr>
        <w:tc>
          <w:tcPr>
            <w:tcW w:w="71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217,205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60" w:type="dxa"/>
            <w:vAlign w:val="bottom"/>
          </w:tcPr>
          <w:p>
            <w:pPr>
              <w:spacing w:after="0"/>
              <w:rPr>
                <w:sz w:val="19"/>
                <w:szCs w:val="19"/>
                <w:color w:val="auto"/>
              </w:rPr>
            </w:pP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(17,145)</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(50,303)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of net loss to net loss attributable to</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stockholders: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(17,145)</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(11,591)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(50,303)</w:t>
            </w:r>
          </w:p>
        </w:tc>
        <w:tc>
          <w:tcPr>
            <w:tcW w:w="3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(30,340)</w:t>
            </w:r>
          </w:p>
        </w:tc>
        <w:tc>
          <w:tcPr>
            <w:tcW w:w="0" w:type="dxa"/>
            <w:vAlign w:val="bottom"/>
          </w:tcPr>
          <w:p>
            <w:pPr>
              <w:spacing w:after="0"/>
              <w:rPr>
                <w:sz w:val="1"/>
                <w:szCs w:val="1"/>
                <w:color w:val="auto"/>
              </w:rPr>
            </w:pPr>
          </w:p>
        </w:tc>
      </w:tr>
      <w:tr>
        <w:trPr>
          <w:trHeight w:val="211"/>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Accretion of issuance costs on redeemable convertible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(Note 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192"/>
        </w:trPr>
        <w:tc>
          <w:tcPr>
            <w:tcW w:w="596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used in computing</w:t>
            </w:r>
          </w:p>
        </w:tc>
        <w:tc>
          <w:tcPr>
            <w:tcW w:w="1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30,296,595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23,747,141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26,018,717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9,945,538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520" w:type="dxa"/>
            <w:vAlign w:val="bottom"/>
            <w:gridSpan w:val="3"/>
            <w:vMerge w:val="restart"/>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5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280" w:type="dxa"/>
            <w:vAlign w:val="bottom"/>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1000" w:type="dxa"/>
            <w:vAlign w:val="bottom"/>
          </w:tcPr>
          <w:p>
            <w:pPr>
              <w:jc w:val="right"/>
              <w:ind w:right="2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7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207"/>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23,806,628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193,921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(71,739)</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122,184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116,859</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30,753</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(17,103)</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(17,103)</w:t>
            </w:r>
          </w:p>
        </w:tc>
        <w:tc>
          <w:tcPr>
            <w:tcW w:w="0" w:type="dxa"/>
            <w:vAlign w:val="bottom"/>
          </w:tcPr>
          <w:p>
            <w:pPr>
              <w:spacing w:after="0"/>
              <w:rPr>
                <w:sz w:val="1"/>
                <w:szCs w:val="1"/>
                <w:color w:val="auto"/>
              </w:rPr>
            </w:pPr>
          </w:p>
        </w:tc>
      </w:tr>
      <w:tr>
        <w:trPr>
          <w:trHeight w:val="247"/>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as of March 31, 2019</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23,954,240</w:t>
            </w:r>
          </w:p>
        </w:tc>
        <w:tc>
          <w:tcPr>
            <w:tcW w:w="24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195,628</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(88,842)</w:t>
            </w:r>
          </w:p>
        </w:tc>
        <w:tc>
          <w:tcPr>
            <w:tcW w:w="2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106,788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110,290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30,757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(16,055)</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(16,055)</w:t>
            </w:r>
          </w:p>
        </w:tc>
        <w:tc>
          <w:tcPr>
            <w:tcW w:w="0" w:type="dxa"/>
            <w:vAlign w:val="bottom"/>
          </w:tcPr>
          <w:p>
            <w:pPr>
              <w:spacing w:after="0"/>
              <w:rPr>
                <w:sz w:val="1"/>
                <w:szCs w:val="1"/>
                <w:color w:val="auto"/>
              </w:rPr>
            </w:pPr>
          </w:p>
        </w:tc>
      </w:tr>
      <w:tr>
        <w:trPr>
          <w:trHeight w:val="210"/>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2019</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24,095,287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197,529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(104,897)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92,634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common stock upon public offering,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of</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offering costs of $525</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7,475,000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(17,145)</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(17,145)</w:t>
            </w:r>
          </w:p>
        </w:tc>
        <w:tc>
          <w:tcPr>
            <w:tcW w:w="0" w:type="dxa"/>
            <w:vAlign w:val="bottom"/>
          </w:tcPr>
          <w:p>
            <w:pPr>
              <w:spacing w:after="0"/>
              <w:rPr>
                <w:sz w:val="1"/>
                <w:szCs w:val="1"/>
                <w:color w:val="auto"/>
              </w:rPr>
            </w:pPr>
          </w:p>
        </w:tc>
      </w:tr>
      <w:tr>
        <w:trPr>
          <w:trHeight w:val="210"/>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September 30, 2019</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31,606,648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328,799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(122,042)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206,760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6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Series Seed Redeemable</w:t>
            </w: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Series A Redeemable</w:t>
            </w:r>
          </w:p>
        </w:tc>
        <w:tc>
          <w:tcPr>
            <w:tcW w:w="1760" w:type="dxa"/>
            <w:vAlign w:val="bottom"/>
            <w:tcBorders>
              <w:right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Series B Redeemable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Convertible Preferred</w:t>
            </w:r>
          </w:p>
        </w:tc>
        <w:tc>
          <w:tcPr>
            <w:tcW w:w="176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Convertible Preferred</w:t>
            </w:r>
          </w:p>
        </w:tc>
        <w:tc>
          <w:tcPr>
            <w:tcW w:w="1760" w:type="dxa"/>
            <w:vAlign w:val="bottom"/>
            <w:tcBorders>
              <w:right w:val="single" w:sz="8" w:color="auto"/>
            </w:tcBorders>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 Preferred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760" w:type="dxa"/>
            <w:vAlign w:val="bottom"/>
          </w:tcPr>
          <w:p>
            <w:pPr>
              <w:spacing w:after="0"/>
              <w:rPr>
                <w:sz w:val="13"/>
                <w:szCs w:val="13"/>
                <w:color w:val="auto"/>
              </w:rPr>
            </w:pPr>
          </w:p>
        </w:tc>
        <w:tc>
          <w:tcPr>
            <w:tcW w:w="920" w:type="dxa"/>
            <w:vAlign w:val="bottom"/>
            <w:gridSpan w:val="3"/>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left="5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left="5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6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0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7"/>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0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tcBorders>
              <w:top w:val="single" w:sz="8" w:color="auto"/>
            </w:tcBorders>
          </w:tcPr>
          <w:p>
            <w:pPr>
              <w:jc w:val="right"/>
              <w:ind w:right="17"/>
              <w:spacing w:after="0" w:line="143"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3"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00"/>
              <w:spacing w:after="0" w:line="143" w:lineRule="exact"/>
              <w:rPr>
                <w:sz w:val="20"/>
                <w:szCs w:val="20"/>
                <w:color w:val="auto"/>
              </w:rPr>
            </w:pPr>
            <w:r>
              <w:rPr>
                <w:rFonts w:ascii="Times New Roman" w:cs="Times New Roman" w:eastAsia="Times New Roman" w:hAnsi="Times New Roman"/>
                <w:sz w:val="13"/>
                <w:szCs w:val="13"/>
                <w:b w:val="1"/>
                <w:bCs w:val="1"/>
                <w:color w:val="auto"/>
              </w:rPr>
              <w:t>Deficit</w:t>
            </w:r>
          </w:p>
        </w:tc>
        <w:tc>
          <w:tcPr>
            <w:tcW w:w="900" w:type="dxa"/>
            <w:vAlign w:val="bottom"/>
            <w:gridSpan w:val="3"/>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(Deficit) Equity</w:t>
            </w:r>
          </w:p>
        </w:tc>
        <w:tc>
          <w:tcPr>
            <w:tcW w:w="0" w:type="dxa"/>
            <w:vAlign w:val="bottom"/>
          </w:tcPr>
          <w:p>
            <w:pPr>
              <w:spacing w:after="0"/>
              <w:rPr>
                <w:sz w:val="1"/>
                <w:szCs w:val="1"/>
                <w:color w:val="auto"/>
              </w:rPr>
            </w:pPr>
          </w:p>
        </w:tc>
      </w:tr>
      <w:tr>
        <w:trPr>
          <w:trHeight w:val="124"/>
        </w:trPr>
        <w:tc>
          <w:tcPr>
            <w:tcW w:w="176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Balance as of December 31,</w:t>
            </w:r>
          </w:p>
        </w:tc>
        <w:tc>
          <w:tcPr>
            <w:tcW w:w="6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right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2017</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3,333,333</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31,450,499</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2,305,173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(23,474)</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(23,135)</w:t>
            </w:r>
          </w:p>
        </w:tc>
        <w:tc>
          <w:tcPr>
            <w:tcW w:w="0" w:type="dxa"/>
            <w:vAlign w:val="bottom"/>
          </w:tcPr>
          <w:p>
            <w:pPr>
              <w:spacing w:after="0"/>
              <w:rPr>
                <w:sz w:val="1"/>
                <w:szCs w:val="1"/>
                <w:color w:val="auto"/>
              </w:rPr>
            </w:pPr>
          </w:p>
        </w:tc>
      </w:tr>
      <w:tr>
        <w:trPr>
          <w:trHeight w:val="130"/>
        </w:trPr>
        <w:tc>
          <w:tcPr>
            <w:tcW w:w="17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series B</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convertible preferred</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stock, net</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of issuance costs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$2,243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28,285,557</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58,257</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series B</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convertible preferred</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stock to</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settled accrued liability</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of</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license cost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233,765</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Accretion of issuance costs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related to</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redeemable convertible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preferred</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stock</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(1,904)</w:t>
            </w:r>
          </w:p>
        </w:tc>
        <w:tc>
          <w:tcPr>
            <w:tcW w:w="16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(2,243)</w:t>
            </w:r>
          </w:p>
        </w:tc>
        <w:tc>
          <w:tcPr>
            <w:tcW w:w="0" w:type="dxa"/>
            <w:vAlign w:val="bottom"/>
          </w:tcPr>
          <w:p>
            <w:pPr>
              <w:spacing w:after="0"/>
              <w:rPr>
                <w:sz w:val="1"/>
                <w:szCs w:val="1"/>
                <w:color w:val="auto"/>
              </w:rPr>
            </w:pPr>
          </w:p>
        </w:tc>
      </w:tr>
      <w:tr>
        <w:trPr>
          <w:trHeight w:val="130"/>
        </w:trPr>
        <w:tc>
          <w:tcPr>
            <w:tcW w:w="17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expense</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Vesting of restricted stock</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awards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30,753</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(8,242)</w:t>
            </w: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(8,242)</w:t>
            </w:r>
          </w:p>
        </w:tc>
        <w:tc>
          <w:tcPr>
            <w:tcW w:w="0" w:type="dxa"/>
            <w:vAlign w:val="bottom"/>
          </w:tcPr>
          <w:p>
            <w:pPr>
              <w:spacing w:after="0"/>
              <w:rPr>
                <w:sz w:val="1"/>
                <w:szCs w:val="1"/>
                <w:color w:val="auto"/>
              </w:rPr>
            </w:pPr>
          </w:p>
        </w:tc>
      </w:tr>
      <w:tr>
        <w:trPr>
          <w:trHeight w:val="182"/>
        </w:trPr>
        <w:tc>
          <w:tcPr>
            <w:tcW w:w="1760" w:type="dxa"/>
            <w:vAlign w:val="bottom"/>
            <w:tcBorders>
              <w:bottom w:val="single" w:sz="8" w:color="CFF0FC"/>
            </w:tcBorders>
          </w:tcPr>
          <w:p>
            <w:pPr>
              <w:spacing w:after="0" w:line="143" w:lineRule="exact"/>
              <w:rPr>
                <w:sz w:val="20"/>
                <w:szCs w:val="20"/>
                <w:color w:val="auto"/>
              </w:rPr>
            </w:pPr>
            <w:r>
              <w:rPr>
                <w:rFonts w:ascii="Times New Roman" w:cs="Times New Roman" w:eastAsia="Times New Roman" w:hAnsi="Times New Roman"/>
                <w:sz w:val="13"/>
                <w:szCs w:val="13"/>
                <w:color w:val="auto"/>
              </w:rPr>
              <w:t>Balance as of March 31, 2018</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3,333,333</w:t>
            </w:r>
          </w:p>
        </w:tc>
        <w:tc>
          <w:tcPr>
            <w:tcW w:w="200" w:type="dxa"/>
            <w:vAlign w:val="bottom"/>
            <w:tcBorders>
              <w:bottom w:val="single" w:sz="8" w:color="CFF0FC"/>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1,500</w:t>
            </w:r>
          </w:p>
        </w:tc>
        <w:tc>
          <w:tcPr>
            <w:tcW w:w="200" w:type="dxa"/>
            <w:vAlign w:val="bottom"/>
            <w:tcBorders>
              <w:bottom w:val="single" w:sz="8" w:color="CFF0FC"/>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31,450,499</w:t>
            </w:r>
          </w:p>
        </w:tc>
        <w:tc>
          <w:tcPr>
            <w:tcW w:w="200" w:type="dxa"/>
            <w:vAlign w:val="bottom"/>
            <w:tcBorders>
              <w:bottom w:val="single" w:sz="8" w:color="CFF0FC"/>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25,000</w:t>
            </w:r>
          </w:p>
        </w:tc>
        <w:tc>
          <w:tcPr>
            <w:tcW w:w="200" w:type="dxa"/>
            <w:vAlign w:val="bottom"/>
            <w:tcBorders>
              <w:bottom w:val="single" w:sz="8" w:color="CFF0FC"/>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28,519,322</w:t>
            </w:r>
          </w:p>
        </w:tc>
        <w:tc>
          <w:tcPr>
            <w:tcW w:w="220" w:type="dxa"/>
            <w:vAlign w:val="bottom"/>
            <w:tcBorders>
              <w:bottom w:val="single" w:sz="8" w:color="CFF0FC"/>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61,000</w:t>
            </w:r>
          </w:p>
        </w:tc>
        <w:tc>
          <w:tcPr>
            <w:tcW w:w="220" w:type="dxa"/>
            <w:vAlign w:val="bottom"/>
            <w:tcBorders>
              <w:bottom w:val="single" w:sz="8" w:color="CFF0FC"/>
              <w:right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2,335,926</w:t>
            </w:r>
          </w:p>
        </w:tc>
        <w:tc>
          <w:tcPr>
            <w:tcW w:w="200" w:type="dxa"/>
            <w:vAlign w:val="bottom"/>
            <w:tcBorders>
              <w:bottom w:val="single" w:sz="8" w:color="CFF0FC"/>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(33,620)</w:t>
            </w:r>
          </w:p>
        </w:tc>
        <w:tc>
          <w:tcPr>
            <w:tcW w:w="2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(33,511)</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760" w:type="dxa"/>
            <w:vAlign w:val="bottom"/>
            <w:shd w:val="clear" w:color="auto" w:fill="CFF0FC"/>
          </w:tcPr>
          <w:p>
            <w:pPr>
              <w:ind w:left="260"/>
              <w:spacing w:after="0" w:line="111" w:lineRule="exact"/>
              <w:rPr>
                <w:sz w:val="20"/>
                <w:szCs w:val="20"/>
                <w:color w:val="auto"/>
              </w:rPr>
            </w:pPr>
            <w:r>
              <w:rPr>
                <w:rFonts w:ascii="Times New Roman" w:cs="Times New Roman" w:eastAsia="Times New Roman" w:hAnsi="Times New Roman"/>
                <w:sz w:val="12"/>
                <w:szCs w:val="12"/>
                <w:color w:val="auto"/>
              </w:rPr>
              <w:t>Issuance common stock</w:t>
            </w:r>
          </w:p>
        </w:tc>
        <w:tc>
          <w:tcPr>
            <w:tcW w:w="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(IPO), net of</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issuance costs of $10,487</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6,035,151</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104,181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104,182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expense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Vesting of restricted stock</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awards</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30,759</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(10,507)</w:t>
            </w:r>
          </w:p>
        </w:tc>
        <w:tc>
          <w:tcPr>
            <w:tcW w:w="1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(10,507)</w:t>
            </w:r>
          </w:p>
        </w:tc>
        <w:tc>
          <w:tcPr>
            <w:tcW w:w="0" w:type="dxa"/>
            <w:vAlign w:val="bottom"/>
          </w:tcPr>
          <w:p>
            <w:pPr>
              <w:spacing w:after="0"/>
              <w:rPr>
                <w:sz w:val="1"/>
                <w:szCs w:val="1"/>
                <w:color w:val="auto"/>
              </w:rPr>
            </w:pPr>
          </w:p>
        </w:tc>
      </w:tr>
      <w:tr>
        <w:trPr>
          <w:trHeight w:val="130"/>
        </w:trPr>
        <w:tc>
          <w:tcPr>
            <w:tcW w:w="17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Conversion of redeemable</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convertible</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preferred stock into</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(3,333,333)</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(1,500)</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(31,450,499)</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(25,000)</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(28,519,322)</w:t>
            </w:r>
          </w:p>
        </w:tc>
        <w:tc>
          <w:tcPr>
            <w:tcW w:w="820" w:type="dxa"/>
            <w:vAlign w:val="bottom"/>
            <w:tcBorders>
              <w:right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(61,000)</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15,320,213</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87,499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87,500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Reclassification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warrants to</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purchase shares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convertible preferred</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stock into</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warrants to purchase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6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Balance as of June 30, 2018</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23,722,049</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192,443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(44,127)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148,318</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Exercise of common stock</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7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IPO issuance cost</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difference</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30"/>
        </w:trPr>
        <w:tc>
          <w:tcPr>
            <w:tcW w:w="17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expense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Vesting of restricted stock</w:t>
            </w: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awards</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30,758</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(11,591)</w:t>
            </w:r>
          </w:p>
        </w:tc>
        <w:tc>
          <w:tcPr>
            <w:tcW w:w="1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(11,591)</w:t>
            </w:r>
          </w:p>
        </w:tc>
        <w:tc>
          <w:tcPr>
            <w:tcW w:w="0" w:type="dxa"/>
            <w:vAlign w:val="bottom"/>
          </w:tcPr>
          <w:p>
            <w:pPr>
              <w:spacing w:after="0"/>
              <w:rPr>
                <w:sz w:val="1"/>
                <w:szCs w:val="1"/>
                <w:color w:val="auto"/>
              </w:rPr>
            </w:pPr>
          </w:p>
        </w:tc>
      </w:tr>
      <w:tr>
        <w:trPr>
          <w:trHeight w:val="124"/>
        </w:trPr>
        <w:tc>
          <w:tcPr>
            <w:tcW w:w="176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Balance as of September 30,</w:t>
            </w:r>
          </w:p>
        </w:tc>
        <w:tc>
          <w:tcPr>
            <w:tcW w:w="6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right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2018</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23,758,898</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192,825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(55,718)</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137,109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(50,303)</w:t>
            </w:r>
          </w:p>
        </w:tc>
        <w:tc>
          <w:tcPr>
            <w:tcW w:w="960" w:type="dxa"/>
            <w:vAlign w:val="bottom"/>
            <w:gridSpan w:val="2"/>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(30,340)</w:t>
            </w: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deferred offering costs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Impairment loss of property and equipment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rent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(49,085)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(26,214)</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(1,339)</w:t>
            </w:r>
          </w:p>
        </w:tc>
      </w:tr>
      <w:tr>
        <w:trPr>
          <w:trHeight w:val="223"/>
        </w:trPr>
        <w:tc>
          <w:tcPr>
            <w:tcW w:w="6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stock, net of</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58,258</w:t>
            </w:r>
          </w:p>
        </w:tc>
        <w:tc>
          <w:tcPr>
            <w:tcW w:w="120" w:type="dxa"/>
            <w:vAlign w:val="bottom"/>
          </w:tcPr>
          <w:p>
            <w:pPr>
              <w:spacing w:after="0"/>
              <w:rPr>
                <w:sz w:val="20"/>
                <w:szCs w:val="20"/>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dilution liability</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shares upon completion of initial public offering</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costs, net of offering costs</w:t>
            </w:r>
          </w:p>
        </w:tc>
        <w:tc>
          <w:tcPr>
            <w:tcW w:w="8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104,168</w:t>
            </w:r>
          </w:p>
        </w:tc>
        <w:tc>
          <w:tcPr>
            <w:tcW w:w="120" w:type="dxa"/>
            <w:vAlign w:val="bottom"/>
            <w:shd w:val="clear" w:color="auto" w:fill="CFF0FC"/>
          </w:tcPr>
          <w:p>
            <w:pPr>
              <w:spacing w:after="0"/>
              <w:rPr>
                <w:sz w:val="20"/>
                <w:szCs w:val="20"/>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offering</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129,465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129,964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160,426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132,614</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126,794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20" w:type="dxa"/>
            <w:vAlign w:val="bottom"/>
            <w:shd w:val="clear" w:color="auto" w:fill="CFF0FC"/>
          </w:tcPr>
          <w:p>
            <w:pPr>
              <w:spacing w:after="0"/>
              <w:rPr>
                <w:sz w:val="19"/>
                <w:szCs w:val="19"/>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206,854</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138,577</w:t>
            </w:r>
          </w:p>
        </w:tc>
        <w:tc>
          <w:tcPr>
            <w:tcW w:w="120" w:type="dxa"/>
            <w:vAlign w:val="bottom"/>
            <w:tcBorders>
              <w:bottom w:val="single" w:sz="8" w:color="CFF0FC"/>
            </w:tcBorders>
          </w:tcPr>
          <w:p>
            <w:pPr>
              <w:spacing w:after="0"/>
              <w:rPr>
                <w:sz w:val="22"/>
                <w:szCs w:val="22"/>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8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20"/>
                <w:szCs w:val="20"/>
                <w:color w:val="auto"/>
              </w:rPr>
            </w:pPr>
          </w:p>
        </w:tc>
        <w:tc>
          <w:tcPr>
            <w:tcW w:w="960" w:type="dxa"/>
            <w:vAlign w:val="bottom"/>
            <w:gridSpan w:val="2"/>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held for sale</w:t>
            </w:r>
          </w:p>
        </w:tc>
        <w:tc>
          <w:tcPr>
            <w:tcW w:w="18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IPO issuance costs included in accrued expenses</w:t>
            </w:r>
          </w:p>
        </w:tc>
        <w:tc>
          <w:tcPr>
            <w:tcW w:w="18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 paid for by landlord</w:t>
            </w:r>
          </w:p>
        </w:tc>
        <w:tc>
          <w:tcPr>
            <w:tcW w:w="18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issuance costs related to redeemable convertible preferred stock</w:t>
            </w:r>
          </w:p>
        </w:tc>
        <w:tc>
          <w:tcPr>
            <w:tcW w:w="18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Pr>
          <w:p>
            <w:pPr>
              <w:spacing w:after="0"/>
              <w:rPr>
                <w:sz w:val="19"/>
                <w:szCs w:val="19"/>
                <w:color w:val="auto"/>
              </w:rPr>
            </w:pPr>
          </w:p>
        </w:tc>
      </w:tr>
      <w:tr>
        <w:trPr>
          <w:trHeight w:val="20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within the</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8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206,362</w:t>
            </w:r>
          </w:p>
        </w:tc>
        <w:tc>
          <w:tcPr>
            <w:tcW w:w="280" w:type="dxa"/>
            <w:vAlign w:val="bottom"/>
          </w:tcPr>
          <w:p>
            <w:pPr>
              <w:spacing w:after="0"/>
              <w:rPr>
                <w:sz w:val="19"/>
                <w:szCs w:val="19"/>
                <w:color w:val="auto"/>
              </w:rPr>
            </w:pPr>
          </w:p>
        </w:tc>
        <w:tc>
          <w:tcPr>
            <w:tcW w:w="960" w:type="dxa"/>
            <w:vAlign w:val="bottom"/>
            <w:gridSpan w:val="2"/>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138,553</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restricted cash (included in other assets)</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206,854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138,577</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19" w:lineRule="exact"/>
        <w:rPr>
          <w:sz w:val="20"/>
          <w:szCs w:val="20"/>
          <w:color w:val="auto"/>
        </w:rPr>
      </w:pPr>
    </w:p>
    <w:p>
      <w:pPr>
        <w:ind w:right="6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AVROBIO, Inc. (the “Company” or “AVROBIO”) is a clinical stage gene therapy company focused on developing potentially curative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therapies to treat rare diseases following a single dose.</w:t>
      </w:r>
    </w:p>
    <w:p>
      <w:pPr>
        <w:spacing w:after="0" w:line="160"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8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On June 20, 2018, the Company’s registration statement on Form S-1 relating to its initial public offering (“IPO”) was declared effective by the Securities and Exchange Commission (the “SEC”). The IPO closed on June 25, 2018 and the Company issued and sold 5,247,958 common shares at a public offering price of $19.00 per share for net proceeds of $90,103 after deducting underwriting discounts and commissions of $6,980 and other offering expenses of approximately $2,628. Simultaneously, on June 25, 2018, the Company issued and sold 787,193 additional common shares, pursuant to the full exercise of the underwriters’ option to purchase additional shares, for net proceeds of $13,910 after deducting underwriting discounts and commissions of $1,047. Thus, the aggregate net proceeds to the Company from the IPO, after deducting underwriting discounts and commissions and other offering costs, were $104,013. Upon the closing of the IPO, all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then outstanding converted into an aggregate of 15,320,213 shares of common stock. In July 2019, the Company closed an underwritten public offering of 7,475,000 shares of its common stock at a public offering price of $18.50 per share, which included 975,000 shares of the Company’s common stock resulting from the full exercise of the underwriters’ option to purchase additional shares at the public offering price, less underwriting discounts and commissions (the “July 2019 Follow-on Offering”). The net proceeds to the Company from the July 2019 Follow-on Offering, after deducting underwriting discounts and commissions and other offering expenses payable by the Company, were approximately $129,500.</w:t>
      </w:r>
    </w:p>
    <w:p>
      <w:pPr>
        <w:spacing w:after="0" w:line="19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Through September 30, 2019, the Company has funded its operations primarily with proceeds from the sale of the Preferred Stock and common stock through the Company’s IPO. The Company has incurred recurring losses since its inception, including net losses of $50,303 and $30,340 for the nine months ended September 30, 2019 and 2018, respectively. In addition, as of September 30, 2019, the Company had an accumulated deficit of $122,042. Although the Company has incurred recurring losses and expects to continue to incur losses for the foreseeable future, the Company expects that its existing cash, cash equivalents and marketable securities will be sufficient to fund current planned operations and capital expenditure requirements for at least the next twelve months from the date of issuance of the financial statements contained in this Form 10-Q.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on the same basis as the audited annual consolidated financial statements as of and for the year ended December 31, 2018, and, in the opinion of management, reflect all adjustments, consisting of normal recurring adjustments, necessary for the fair presentation of the Company’s financial position as of September 30, 2019, and the results of its operations for the three and nine months ended September 30, 2019 and 2018, its statements of stockholders’ equity for the three and nine months ended September 30, 2019 and 2018 and its statement of cash flows for the nine months ended September 30, 2019 and 2018.</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 w:name="page11"/>
    <w:bookmarkEnd w:id="10"/>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2019 are not necessarily indicative of the results to be expected for the year ending December 31, 2019, any other interim periods, or any future year or period. These interim financial statements should be read in conjunction with the audited financial statements as of and for the year ended December 31, 2018, and the notes thereto, which are included in the Company’s Annual Report on Form 10-K for the year ended December 31, 2018, filed with the Securities and Exchange Commission (“SEC”) on March 25, 2019.</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the application of certain significant accounting policies as described below and elsewhere in these notes to the Unaudited Condensed Consolidated Financial Statements. As of September 30, 2019, there have been no changes to the Company’s significant accounting policies as described in the Company’s Annual Report on Form 10-K for the fiscal year ended December 31, 2018, except as it related to the adoption of new accounting standards during the first nine months of 2019 as discussed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808)—Clarifying the Interaction between Topic 808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606 </w:t>
      </w:r>
      <w:r>
        <w:rPr>
          <w:rFonts w:ascii="Times New Roman" w:cs="Times New Roman" w:eastAsia="Times New Roman" w:hAnsi="Times New Roman"/>
          <w:sz w:val="18"/>
          <w:szCs w:val="18"/>
          <w:color w:val="auto"/>
        </w:rPr>
        <w:t>(“ASU 2018-18”). The amendments in ASU 2018-18 clarify that certain transactions between collaborative arrangement participants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does not expect the adoption of ASU 2018-18 to have a material impact on its consolidated financial statements.</w:t>
      </w:r>
    </w:p>
    <w:p>
      <w:pPr>
        <w:spacing w:after="0" w:line="183"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Intangible-Goodwill and Other Internal-Use Software (Subtopic 350-40)</w:t>
      </w:r>
      <w:r>
        <w:rPr>
          <w:rFonts w:ascii="Times New Roman" w:cs="Times New Roman" w:eastAsia="Times New Roman" w:hAnsi="Times New Roman"/>
          <w:sz w:val="18"/>
          <w:szCs w:val="18"/>
          <w:color w:val="auto"/>
        </w:rPr>
        <w:t xml:space="preserve"> (“ASU 2018-15”). ASU 2018-15 updates guidance regarding accounting for implementation costs associated with a cloud computing arrangement that is a service contract. The amendments under ASU 2018-15 are effective for interim and annual fiscal periods beginning after December 15, 2019, with early adoption permitted. The Company does not expect the adoption of ASU 2018-15 to have a material impact on its consolidated financial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or ASU 2018-13. The amendments in ASU 2018-13 eliminate, add, and modify certain disclosure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is currently evaluating the effects the adoption of ASU 2018-13 will have on its disclosures.</w:t>
      </w:r>
    </w:p>
    <w:p>
      <w:pPr>
        <w:spacing w:after="0" w:line="183" w:lineRule="exact"/>
        <w:rPr>
          <w:sz w:val="20"/>
          <w:szCs w:val="20"/>
          <w:color w:val="auto"/>
        </w:rPr>
      </w:pPr>
    </w:p>
    <w:p>
      <w:pPr>
        <w:ind w:right="220" w:firstLine="518"/>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Classification of Certain Cash Receipts and Cash Payments</w:t>
      </w:r>
      <w:r>
        <w:rPr>
          <w:rFonts w:ascii="Times New Roman" w:cs="Times New Roman" w:eastAsia="Times New Roman" w:hAnsi="Times New Roman"/>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adopted ASU 2016-15 during the quarter ended March 31, 2019. The adoption did not have a material impact on the condensed consolidated financial statements.</w:t>
      </w:r>
    </w:p>
    <w:p>
      <w:pPr>
        <w:spacing w:after="0" w:line="183"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Leases (Topic 842)</w:t>
      </w:r>
      <w:r>
        <w:rPr>
          <w:rFonts w:ascii="Times New Roman" w:cs="Times New Roman" w:eastAsia="Times New Roman" w:hAnsi="Times New Roman"/>
          <w:sz w:val="18"/>
          <w:szCs w:val="18"/>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 The Company is currently evaluating the impact that the adoption of ASU 2016-02 will have on its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September 30, 2019 and December 31, 2018:</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12"/>
          </w:tcPr>
          <w:p>
            <w:pPr>
              <w:ind w:left="440"/>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2019 Using:</w:t>
            </w:r>
          </w:p>
        </w:tc>
      </w:tr>
      <w:tr>
        <w:trPr>
          <w:trHeight w:val="156"/>
        </w:trPr>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206,121</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206,121</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206,613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206,613</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60" w:type="dxa"/>
            <w:vAlign w:val="bottom"/>
            <w:gridSpan w:val="12"/>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2018 Using:</w:t>
            </w:r>
          </w:p>
        </w:tc>
      </w:tr>
      <w:tr>
        <w:trPr>
          <w:trHeight w:val="156"/>
        </w:trPr>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126,047</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126,047</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126,539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126,539</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within the hierarchy during the nine months ended September 30, 2019 or the year ended December 31, 2018.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2" w:name="page13"/>
    <w:bookmarkEnd w:id="12"/>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the Warrant to Purchase Preferred Stock</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At June 30, 2018, the Company had outstanding a warrant to purchase shares of common stock that was issued to a lender in connection with a loan and security agreement entered into in 2017. The warrant was originally issued as a warrant to purchase shares of Series A Preferred Stock prior to the IPO. The fair value of the warrant to purchase preferred stock was determined based on significant inputs not observable in the market, which represents a Level 3 measurement within the fair value hierarchy.</w:t>
      </w:r>
    </w:p>
    <w:p>
      <w:pPr>
        <w:spacing w:after="0" w:line="18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Prior to the IPO, the Company classified the warrant as a liability on its consolidated balance sheets as the warrant is a free-standing financial instrument that may require the Company to transfer assets upon exercise. The preferred stock warrant liability was initially recorded at fair value upon the date of issuance and was subsequently remeasured to fair value at each reporting date. Changes in the fair value of the warrant to purchase preferred stock were recognized as a component of other income (expense), net in the consolidated statements of operations and comprehensive loss.</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Company utilized the Black-Scholes option-pricing model, which incorporates assumptions and estimates, to value the warrant. The Company assessed these assumptions and estimates on a quarterly basis as additional information impacting the assumptions was obtained. Estimates and assumptions impacting the fair value measurement included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 Upon the IPO, the warrant to purchase preferred stock was converted to a warrant to purchase common stock. The carrying amount of the warrant to purchase preferred stock as of the date of IPO was transferred to additional paid in capital.</w:t>
      </w:r>
    </w:p>
    <w:p>
      <w:pPr>
        <w:spacing w:after="0" w:line="215"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Company recognized a loss of $0 and $162 in the condensed consolidated statements of operations and comprehensive loss for the nine months ended September 30, 2019 and 2018, related to the change in fair value of the warrant. The Company did not recognize any gain or loss for the three months ended September 30, 2019 and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Derivative</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contained a provision requiring the Company to make a cash payment to UHN of up to $2,000 if UHN’s fully diluted ownership was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was recorded as research and development expense in January 2016.</w:t>
      </w:r>
    </w:p>
    <w:p>
      <w:pPr>
        <w:spacing w:after="0" w:line="18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On June 21, 2018, in connection with the Company’s IPO, the Company remeasured the fair value of the derivative to $2,000 as the Company was required to pay the dilution payment as mentioned above, which the Company paid in July 2018. An increase in fair value of $0 and $1,629 was recorded in other expense in the accompanying condensed consolidated statements of operations and comprehensive loss for the nine months ended September 30, 2019 and 2018, respectively. The Company did not recognize any expense for the three months ended September 30, 2019 and 2018.</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3" w:name="page14"/>
    <w:bookmarkEnd w:id="13"/>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4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incentive refund</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7,345</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44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September 30, 2019 and 2018 was $215 and $130, respectively. Depreciation and amortization expense for the nine months ended September 30, 2019 and 2018 was $605 and $196,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5"/>
                <w:szCs w:val="15"/>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60" w:type="dxa"/>
            <w:vAlign w:val="bottom"/>
            <w:tcBorders>
              <w:bottom w:val="single" w:sz="8" w:color="CFF0FC"/>
            </w:tcBorders>
          </w:tcPr>
          <w:p>
            <w:pPr>
              <w:spacing w:after="0"/>
              <w:rPr>
                <w:sz w:val="19"/>
                <w:szCs w:val="19"/>
                <w:color w:val="auto"/>
              </w:rPr>
            </w:pPr>
          </w:p>
        </w:tc>
      </w:tr>
      <w:tr>
        <w:trPr>
          <w:trHeight w:val="237"/>
        </w:trPr>
        <w:tc>
          <w:tcPr>
            <w:tcW w:w="54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60" w:type="dxa"/>
            <w:vAlign w:val="bottom"/>
            <w:shd w:val="clear" w:color="auto" w:fill="CFF0FC"/>
          </w:tcPr>
          <w:p>
            <w:pPr>
              <w:spacing w:after="0"/>
              <w:rPr>
                <w:sz w:val="20"/>
                <w:szCs w:val="20"/>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Redeemable Convertible Preferred Stock and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Prior to the IPO, the authorized capital stock of the Company included 63,491,857 shares of $0.0001 par value preferred stock, of which 3,333,333 shares have been designated as Series Seed Preferred Stock, 31,639,202 shares have been designated as Series A Preferred Stock and 28,519,322 shares have been designated as Series B Preferred Stock.</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14" w:name="page15"/>
    <w:bookmarkEnd w:id="14"/>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In January 2018, the Company issued and sold 28,519,322 shares of Series B Preferred Stock, at a price of $2.1389 per share, for total proceeds of $58,757, net of issuance costs of $2,243.</w:t>
      </w:r>
    </w:p>
    <w:p>
      <w:pPr>
        <w:spacing w:after="0" w:line="162"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Upon closing of the IPO, all outstanding shares of Preferred Stock were converted into 15,320,213 shares of common stock. The holders of the Company’s Preferred Stock had certain voting, dividend, and redemption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2019 and December 31, 2018, the authorized capital stock of the Company included 150,000,000 shares of common stock,</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$0.0001 par value and 10,000,000 shares of undesignated preferred stock. As of September 30, 2019 and December 31, 2018, no undesignated preferred stock was outstanding.</w:t>
      </w:r>
    </w:p>
    <w:p>
      <w:pPr>
        <w:spacing w:after="0" w:line="180"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In accordance with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September 30, 2019, no cash dividends have been declared or paid.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2019 and December 31, 2018, the Company has reserved the following shares of common stock for future issuance:</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awards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63,313</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153,276</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exercise of outstanding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3,145,428</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2,164,101</w:t>
            </w:r>
          </w:p>
        </w:tc>
        <w:tc>
          <w:tcPr>
            <w:tcW w:w="80" w:type="dxa"/>
            <w:vAlign w:val="bottom"/>
          </w:tcPr>
          <w:p>
            <w:pPr>
              <w:spacing w:after="0"/>
              <w:rPr>
                <w:sz w:val="19"/>
                <w:szCs w:val="19"/>
                <w:color w:val="auto"/>
              </w:rPr>
            </w:pPr>
          </w:p>
        </w:tc>
      </w:tr>
      <w:tr>
        <w:trPr>
          <w:trHeight w:val="211"/>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issuance under the 2018 Stock Option</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Grant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474,326</w:t>
            </w: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385,561</w:t>
            </w:r>
          </w:p>
        </w:tc>
        <w:tc>
          <w:tcPr>
            <w:tcW w:w="80" w:type="dxa"/>
            <w:vAlign w:val="bottom"/>
            <w:shd w:val="clear" w:color="auto" w:fill="CFF0FC"/>
          </w:tcPr>
          <w:p>
            <w:pPr>
              <w:spacing w:after="0"/>
              <w:rPr>
                <w:sz w:val="20"/>
                <w:szCs w:val="20"/>
                <w:color w:val="auto"/>
              </w:rPr>
            </w:pP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 under the 2018 Employee Stock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5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461,266</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223,200</w:t>
            </w:r>
          </w:p>
        </w:tc>
        <w:tc>
          <w:tcPr>
            <w:tcW w:w="80" w:type="dxa"/>
            <w:vAlign w:val="bottom"/>
            <w:tcBorders>
              <w:bottom w:val="single" w:sz="8" w:color="CFF0FC"/>
            </w:tcBorders>
          </w:tcPr>
          <w:p>
            <w:pPr>
              <w:spacing w:after="0"/>
              <w:rPr>
                <w:sz w:val="20"/>
                <w:szCs w:val="20"/>
                <w:color w:val="auto"/>
              </w:rPr>
            </w:pPr>
          </w:p>
        </w:tc>
      </w:tr>
      <w:tr>
        <w:trPr>
          <w:trHeight w:val="205"/>
        </w:trPr>
        <w:tc>
          <w:tcPr>
            <w:tcW w:w="55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shares of authorized common stock reserved for future</w:t>
            </w: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5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4,144,333</w:t>
            </w: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2,926,138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members of the Board were as follows, presented on a weighted-average basis: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74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81.25%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83.42%</w:t>
            </w:r>
          </w:p>
        </w:tc>
        <w:tc>
          <w:tcPr>
            <w:tcW w:w="174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20"/>
                <w:szCs w:val="20"/>
                <w:color w:val="auto"/>
              </w:rPr>
            </w:pPr>
          </w:p>
        </w:tc>
      </w:tr>
      <w:tr>
        <w:trPr>
          <w:trHeight w:val="643"/>
        </w:trPr>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5" w:name="page16"/>
    <w:bookmarkEnd w:id="15"/>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nine months ended September 30, 2019:</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2,164,100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1,315,317</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(232,758)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(101,231)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3,145,428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2019</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790,343</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September 30, 2019</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3,145,428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76"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the Company’s stock options granted during the nine months ended September 30, 2019 and 2018 was $11.77 and $9.05,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common stock activity for the nine months ended September 30, 2019:</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153,275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(92,262)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September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fair value of restricted common stock vested during the nine months ended September 30, 2019 and 2018 was $44 and $39,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total unrecognized compensation cost related to the unvested stock-based awards was $22,065, which is expected to be recognized over a weighted-average period of 3.24 years.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17" w:right="399" w:bottom="1440" w:gutter="0" w:footer="0" w:header="0"/>
        </w:sectPr>
      </w:pPr>
    </w:p>
    <w:bookmarkStart w:id="16" w:name="page17"/>
    <w:bookmarkEnd w:id="16"/>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UHN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UHN also granted the Company an exclusive option, exercisable for a period of three years following the execution of the agreement, to obtain a license under certain improvements to the licensed intellectual property rights as well as an option to negotiate a license under certain other improvements. The Company elected not to exercise such option and the option has expired in accordance with its terms.</w:t>
      </w:r>
    </w:p>
    <w:p>
      <w:pPr>
        <w:spacing w:after="0" w:line="18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4" w:lineRule="exact"/>
        <w:rPr>
          <w:sz w:val="20"/>
          <w:szCs w:val="20"/>
          <w:color w:val="auto"/>
        </w:rPr>
      </w:pPr>
    </w:p>
    <w:p>
      <w:pPr>
        <w:ind w:right="20" w:firstLine="518"/>
        <w:spacing w:after="0" w:line="281" w:lineRule="auto"/>
        <w:rPr>
          <w:sz w:val="20"/>
          <w:szCs w:val="20"/>
          <w:color w:val="auto"/>
        </w:rPr>
      </w:pPr>
      <w:r>
        <w:rPr>
          <w:rFonts w:ascii="Times New Roman" w:cs="Times New Roman" w:eastAsia="Times New Roman" w:hAnsi="Times New Roman"/>
          <w:sz w:val="17"/>
          <w:szCs w:val="17"/>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6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2019 and 2018, the Company recorded research and development expense related to this agreement with UHN of $415 and $0, respectively, which consists of reimbursable funded study trial costs. For the nine months ended September 30, 2019 and 2018, the Company recorded research and development expense related to this agreement with UHN of $741 and $0, respectively, which consists of reimbursable funded study trial costs. No milestone or maintenance fees were incurred related to the Fabry license agreement in the nine months ended September 30, 2019 and 2018.</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7" w:name="page18"/>
    <w:bookmarkEnd w:id="17"/>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Interleukin 12 License Agreement—</w:t>
      </w:r>
    </w:p>
    <w:p>
      <w:pPr>
        <w:spacing w:after="0" w:line="119"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was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93"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84"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and 2018, the Company recorded research and development expense related to this agreement with UHN of $38 and $41, respectively, which consists of license maintenance fees. No license maintenance fees were recorded in the three months ended September 30, 2019 and 2018. No milestone fees were incurred related to the IL-12 license agreement in the nine months ended September 30, 2019 and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BioMarin Pharmaceutical Inc. (“BioMarin”)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milestone fees related to the license were recorded for the nine months ended September 30, 2019 and 2018.</w:t>
      </w:r>
    </w:p>
    <w:p>
      <w:pPr>
        <w:spacing w:after="0" w:line="18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GenStem Therapeutics, Inc. (“GenStem”)</w:t>
      </w:r>
    </w:p>
    <w:p>
      <w:pPr>
        <w:spacing w:after="0" w:line="121"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In November 2019, the Company made a payment of $2,000 in connection with the dosing of the first patient in the investigator-sponsored Phase 1/2 clinical trial of AVR-RD-04 in cystinosis in the United States. The next anticipated payment under this Agreement is $2,000, which would become due following the dosing of the first patient in the first pivotal clinical trial of AVR-RD-04 in cystinosis in the United States.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milestone fees related to the license were recorded for the nine months ended September 30, 2019 and 2018.</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Lund University Rights Holders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milestone fees related to the license were recorded for the nine months ended September 30, 2019 and 2018.</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 Attributable to Common Stockholders</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80"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74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3,145,428</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1,957,839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184,033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1"/>
        </w:trPr>
        <w:tc>
          <w:tcPr>
            <w:tcW w:w="172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 converted to common stock)</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20"/>
                <w:szCs w:val="20"/>
                <w:color w:val="auto"/>
              </w:rPr>
            </w:pPr>
          </w:p>
        </w:tc>
      </w:tr>
      <w:tr>
        <w:trPr>
          <w:trHeight w:val="648"/>
        </w:trPr>
        <w:tc>
          <w:tcPr>
            <w:tcW w:w="724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9" w:name="page20"/>
    <w:bookmarkEnd w:id="19"/>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prior lease agreement.</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August 31, 2018, the Company entered into a sub-lease agreement for lab space located in Cambridge, Massachusetts, United States, which expires in October 2020. The annual lease payments are subject to a 3% increase each year. In accordance with the lease agreement, the Company is required to maintain a security deposit of $283, which was recorded in other assets as of September 30,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nine months ended September 30, 2019 and 2018 and to the best of its knowledge, no material legal proceedings are currently pending or threatened.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Company is also party to various agreements, principally relating to licensed technology, that require future payments relating to milestones not met at September 30, 2019 and December 31, 2018, or royalties on future sales. No milestone or royalty payments under these agreements are expected to be payable in the immediate future, except as disclosed in Note 9. See Note 9 for discussion of these arrangements.</w:t>
      </w:r>
    </w:p>
    <w:p>
      <w:pPr>
        <w:spacing w:after="0" w:line="176"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at September 30, 2019.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ind w:left="50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UHN</w:t>
      </w:r>
    </w:p>
    <w:p>
      <w:pPr>
        <w:spacing w:after="0" w:line="12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a license agreement with UHN on January 27, 2016, the Company issued UHN 1,161,665 shares of its common stock. Upon the closing of the IPO, as UHN’s fully-diluted percentage ownership of the Company was reduced within a range of specified percentages, the Company was obligated to pay UHN an amount up to $2,000, which was paid in July 2018. See Note 3 for further discussion on the accounting treatment for this provision.</w:t>
      </w:r>
    </w:p>
    <w:p>
      <w:pPr>
        <w:spacing w:after="0" w:line="180"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and 2018, the Company recognized $415 and $0, respectively, of research and development expense related to the license agreements with UHN (Note 9). For the nine months ended September 30, 2019 and 2018, the Company recognized $779 and $41, respectively, of research and development expense related to the license agreements with UHN (Note 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2019, the Company recorded expenses of $369 and $1,090, respectively, related to a sublease to rent lab space, provided by an entity affiliated with a member of the Board. No such expense was recorded for the three and nine months ended September 30, 2018.</w:t>
      </w:r>
    </w:p>
    <w:p>
      <w:pPr>
        <w:spacing w:after="0" w:line="17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For the three nine months ended September 30, 2019 and 2018, the Company recognized $0 and $2, respectively, related to consulting services provided by an entity affiliated with an officer of the Company and a member of the Board. For the nine months ended September 30, 2019 and 2018, the Company recognized $0 and $42, respectively, related to consulting services provided by an entity affiliated with an officer of the Company and a member of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right="480" w:firstLine="761"/>
        <w:spacing w:after="0" w:line="282" w:lineRule="auto"/>
        <w:rPr>
          <w:sz w:val="20"/>
          <w:szCs w:val="20"/>
          <w:color w:val="auto"/>
        </w:rPr>
      </w:pPr>
      <w:r>
        <w:rPr>
          <w:rFonts w:ascii="Times New Roman" w:cs="Times New Roman" w:eastAsia="Times New Roman" w:hAnsi="Times New Roman"/>
          <w:sz w:val="18"/>
          <w:szCs w:val="18"/>
          <w:color w:val="auto"/>
        </w:rPr>
        <w:t>In November 2019, the Company made a payment of $2,000 to GenStem in connection with the dosing of the first patient in the investigator-sponsored Phase 1/2 clinical trial of AVR-RD-04 in cystinosis in the United States (Note 9).</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2018 included in our Annual Report on Form 10-K for the year ended December 31, 2018.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2018, as supplemented by our subsequent filings with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We are a Phase 2 clinical stage gene therapy company focused on developing potentially curative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initial pipeline is comprised of four lentiviral-based gene therapy programs, including AVR-RD-01 for the treatment of Fabry disease, AVR-RD-02 for the treatment of Gaucher disease, AVR-RD-04 for the treatment of cystinosis, and AVR-RD-03 for the treatment of Pompe disease. We are initially targeting rare diseases in which the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their characteristics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most ERTs typically remain in the plasma only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international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continue our move towards implementing our commercial-scale plato</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which includes heightened vector efficiency, a closed, automated manufacturing system and utilization of a therapeutic drug monitoring, or TDM, conditioning regimen. These platform improvements have been designed with the intent of improving safety and enhancing the potency and long-term durability of our therapies. We are developing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our initial public offering, or IPO, and an underwritten public offering that closed in July 2019, or the July 2019 Follow-On Offering. Through September 30, 2019, we have received gross proceeds of $87.5 million from the sales of our preferred stock and net proceeds, after deducting underwriting discounts and commissions and other offering expenses payable by us, of $104.2 million and $129.5 million from the sales of common stock through our IPO and the July 2019 Follow-On Offering, respectively.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22" w:name="page23"/>
    <w:bookmarkEnd w:id="22"/>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July 1, 2019, we filed a shelf registration statement on Form S-3 with the SEC, which covers the offering, issuance and sale by us of up to an aggregate of $200.0 million of our common stock, preferred stock, debt securities, warrants and/or units, which we refer to as the Shelf. We simultaneously entered into a Sales Agreement with Cowen and Company, LLC, as sales agent, to provide for the offering, issuance and sale by the Company of up to $50.0 million of our common stock from time to time in “at-the-market” offerings under the Shelf (the “ATM Facility”). The Shelf was declared effective by the SEC on July 10, 2019.</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July 2019, we closed the July 2019 Follow-On Offering, resulting in net proceeds to the Company, after deducting underwriting discounts and commissions and other offering expenses payable by us, of approximately $129.5 million. As of September 30, 2019, we have not offered, issued or sold any shares of common stock under the ATM Facility.</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$50.3 million and $30.3 million for the nine months ended September 30, 2019 and 2018, respectively. As of September 30, 2019, we had an accumulated deficit of $122.0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incur additional costs associated with operating as a public company, including significant legal, accounting, investor relations and other expenses that we did not incur as a private company.</w:t>
      </w:r>
    </w:p>
    <w:p>
      <w:pPr>
        <w:spacing w:after="0" w:line="18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and the July 2019 Follow-On Offering, and potential proceeds if we offer and sell equity pursuant to the ATM Facility.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of September 30, 2019, we had cash and cash equivalents of $206.4 million. We believe that our existing cash and cash equivalents as of September 30, 2019, together with the net proceeds from the July 2019 Follow-On Offering, will enable us to fund our operating expenses and capital expenditure requirements into the second half of 2021.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AVR-RD-01 for Fabry disease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July 2019, we announced clinical data from clinical trials of our investigational gene therapy AVR-RD-01 in Fabry disease. 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patients with Fabry disease who have been previously treated with enzyme replacement therapy, or ERT, for at least six months have been enrolled and enrollment is complete. In addition, we are sponsoring a Phase 2 open-label, multinational clinical trial of AVR-RD-01, with expected enrollment of eight to 12 treatment-naïve males, 16 years and older, with classic Fabry disease, who have not been treated with ERT within 10 years prior to enrollment or chaperone therapy at any time. As of October 15, 2019, three patients in Australia have enrolled in this Phase 2 clinical trial, and we currently have the necessary regulatory clearances to expand enrollment to sites in Canada and the United States. We expect to open a U.S. site for our ongoing Phase 2 clinical trial of AVR-RD-01 in the fourth quarter of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t>The primary efficacy endpoint of our Phase 2 clinical trial is the change from baseline in the average number of globotriaosylceramide, or Gb3, inclusions per peritubular capillary, or PTC, as measured in a patient kidney biopsy one year (48 weeks) after treatment with AVR-RD-01. In addition to safety, the Phase 2 and 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 VCN, is being measured in these trials to assess the potential durability of the gene therapy. Safety and tolerability parameters also are being assessed in these trials.</w:t>
      </w:r>
    </w:p>
    <w:p>
      <w:pPr>
        <w:spacing w:after="0" w:line="76" w:lineRule="exact"/>
        <w:rPr>
          <w:sz w:val="20"/>
          <w:szCs w:val="20"/>
          <w:color w:val="auto"/>
        </w:rPr>
      </w:pPr>
    </w:p>
    <w:p>
      <w:pPr>
        <w:ind w:left="900" w:right="200" w:hanging="379"/>
        <w:spacing w:after="0" w:line="259"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Kidney biopsy / Gb3 PTC reductions</w:t>
      </w:r>
      <w:r>
        <w:rPr>
          <w:rFonts w:ascii="Times New Roman" w:cs="Times New Roman" w:eastAsia="Times New Roman" w:hAnsi="Times New Roman"/>
          <w:sz w:val="18"/>
          <w:szCs w:val="18"/>
          <w:color w:val="auto"/>
        </w:rPr>
        <w:t>. The primary efficacy endpoint of our Phase 2 clinical trial is the change, from baseline to one year post-treatment with AVR-RD-01, in the average number of Gb3 inclusions per PTC, as measured in a patient kidney biopsy.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183" w:lineRule="exact"/>
        <w:rPr>
          <w:rFonts w:ascii="Times New Roman" w:cs="Times New Roman" w:eastAsia="Times New Roman" w:hAnsi="Times New Roman"/>
          <w:sz w:val="18"/>
          <w:szCs w:val="18"/>
          <w:color w:val="auto"/>
        </w:rPr>
      </w:pPr>
    </w:p>
    <w:p>
      <w:pPr>
        <w:jc w:val="both"/>
        <w:ind w:left="92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patient in our Phase 2 clinical trial, who had not previously received ERT, exhibited a reduction from an average of 3.55 Gb3 inclusions per PTC at baseline to an average of 0.47 inclusions per PTC one year after administration of AVR-RD-01, representing an 87% reduction and a numerical decrease of 3.08. The following figure illustrates this decrease in average Gb3 inclusions per PTC for this patient.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Phase 2 Patient 1: 87% substrate reduction in kidney biopsy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157480</wp:posOffset>
            </wp:positionV>
            <wp:extent cx="4210685" cy="2178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106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Baseline: </w:t>
      </w:r>
      <w:r>
        <w:rPr>
          <w:rFonts w:ascii="Times New Roman" w:cs="Times New Roman" w:eastAsia="Times New Roman" w:hAnsi="Times New Roman"/>
          <w:sz w:val="14"/>
          <w:szCs w:val="14"/>
          <w:i w:val="1"/>
          <w:iCs w:val="1"/>
          <w:color w:val="auto"/>
        </w:rPr>
        <w:t>The last available, non-missing observation prior to AVR-RD-01 infusion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Note: </w:t>
      </w:r>
      <w:r>
        <w:rPr>
          <w:rFonts w:ascii="Times New Roman" w:cs="Times New Roman" w:eastAsia="Times New Roman" w:hAnsi="Times New Roman"/>
          <w:sz w:val="14"/>
          <w:szCs w:val="14"/>
          <w:i w:val="1"/>
          <w:iCs w:val="1"/>
          <w:color w:val="auto"/>
        </w:rPr>
        <w:t>With respect to Fabry disease clinical trials, Gb3 inclusions per PTC is interchangeable with GL-3 inclusions per KIC</w:t>
      </w:r>
    </w:p>
    <w:p>
      <w:pPr>
        <w:spacing w:after="0" w:line="80" w:lineRule="exact"/>
        <w:rPr>
          <w:sz w:val="20"/>
          <w:szCs w:val="20"/>
          <w:color w:val="auto"/>
        </w:rPr>
      </w:pPr>
    </w:p>
    <w:p>
      <w:pPr>
        <w:ind w:left="900" w:right="20" w:hanging="379"/>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Plasma lyso-Gb3 reductions. </w:t>
      </w:r>
      <w:r>
        <w:rPr>
          <w:rFonts w:ascii="Times New Roman" w:cs="Times New Roman" w:eastAsia="Times New Roman" w:hAnsi="Times New Roman"/>
          <w:sz w:val="18"/>
          <w:szCs w:val="18"/>
          <w:color w:val="auto"/>
        </w:rPr>
        <w:t>The first patient in our Phase 2 trial (who was treatment-naïve) had an 87% reduction in plasma lyso-Gb3 as of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after treatment with AVR-RD-01. In addition, in the first four patients in the Phase 1 clinical trial of AVR-RD-01 for whom efficacy data is available at six months or more post-treatment with AVR-RD-01, we observed consistent reductions in plasma lyso-Gb3 levels. In these first four Phase 1 patients, we have observed plasma lyso-Gb3 at levels post-treatment that are lower than the levels observed when the patient received only ERT prior to administration of AVR-RD-01, which we refer to as baseline ERT levels. We define baseline ERT for these Phase 1 patients as the mean of the plasma lyso-Gb3 values reported prior to initiating mobilization. These first four Phase 1 patients exhibited reductions in plasma lyso-Gb3 levels between 33% and 41% compared to their baseline ERT levels.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4" w:name="page25"/>
    <w:bookmarkEnd w:id="24"/>
    <w:p>
      <w:pPr>
        <w:ind w:left="920"/>
        <w:spacing w:after="0" w:line="282" w:lineRule="auto"/>
        <w:rPr>
          <w:sz w:val="20"/>
          <w:szCs w:val="20"/>
          <w:color w:val="auto"/>
        </w:rPr>
      </w:pPr>
      <w:r>
        <w:rPr>
          <w:rFonts w:ascii="Times New Roman" w:cs="Times New Roman" w:eastAsia="Times New Roman" w:hAnsi="Times New Roman"/>
          <w:sz w:val="18"/>
          <w:szCs w:val="18"/>
          <w:color w:val="auto"/>
        </w:rPr>
        <w:t>The following figures summarize the plasma lyso-Gb3 data observed in the first four patients from the ongoing Phase 1 clinical trial of AVR-RD-01: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Phase 1: Plasma lyso-Gb3 consistently reduced by 33-41% vs. baseline* ERT at 6+ months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294640</wp:posOffset>
            </wp:positionV>
            <wp:extent cx="5179695" cy="2221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969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*Baseline</w:t>
      </w:r>
      <w:r>
        <w:rPr>
          <w:rFonts w:ascii="Times New Roman" w:cs="Times New Roman" w:eastAsia="Times New Roman" w:hAnsi="Times New Roman"/>
          <w:sz w:val="14"/>
          <w:szCs w:val="14"/>
          <w:i w:val="1"/>
          <w:iCs w:val="1"/>
          <w:color w:val="auto"/>
        </w:rPr>
        <w:t>: The mean of the values reported prior to initiating mobilization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Percent reduction</w:t>
      </w:r>
      <w:r>
        <w:rPr>
          <w:rFonts w:ascii="Times New Roman" w:cs="Times New Roman" w:eastAsia="Times New Roman" w:hAnsi="Times New Roman"/>
          <w:sz w:val="14"/>
          <w:szCs w:val="14"/>
          <w:i w:val="1"/>
          <w:iCs w:val="1"/>
          <w:color w:val="auto"/>
        </w:rPr>
        <w:t>: As measured from baseline to last assessment</w:t>
      </w:r>
    </w:p>
    <w:p>
      <w:pPr>
        <w:spacing w:after="0" w:line="192"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8"/>
          <w:szCs w:val="18"/>
          <w:color w:val="auto"/>
        </w:rPr>
        <w:t>Plasma lyso-Gb3 data are also available for Patient 5 in the Phase 1 trial, up to three months post-treatment with AVR-RD-01. This patient’s baseline ERT (as defined above) was 15.84 nM, and his plasma lyso-Gb3 levels were 17.8 nM and 14.56 nM at 1 month and 3 months post-treatment with AVR-RD-01, respectively. Plasma lyso-Gb3 data are also available for Patient 2 in the Phase 2 trial, up to six months post-treatment with AVR-RD-01. This patient has an N215S genotype, which is associated with a late-onset cardiac variant phenotype and lower plasma lyso-Gb3 levels. His plasma lyso-Gb3 levels were 7.59 nM, 5.9 nM, 5.8 nM, 5.9 nM, and 6.71 nM at baseline, one month, two months, three months, and six months post-treatment with AVR-RD-01, respectively.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w:t>
      </w:r>
    </w:p>
    <w:p>
      <w:pPr>
        <w:spacing w:after="0" w:line="77" w:lineRule="exact"/>
        <w:rPr>
          <w:sz w:val="20"/>
          <w:szCs w:val="20"/>
          <w:color w:val="auto"/>
        </w:rPr>
      </w:pPr>
    </w:p>
    <w:p>
      <w:pPr>
        <w:ind w:left="900" w:right="120" w:hanging="379"/>
        <w:spacing w:after="0" w:line="25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AGA enzyme activity as measured in plasma and leukocytes</w:t>
      </w:r>
      <w:r>
        <w:rPr>
          <w:rFonts w:ascii="Times New Roman" w:cs="Times New Roman" w:eastAsia="Times New Roman" w:hAnsi="Times New Roman"/>
          <w:sz w:val="18"/>
          <w:szCs w:val="18"/>
          <w:color w:val="auto"/>
        </w:rPr>
        <w:t>. We believe, based on years of observations of Fabry patients prescribed ERT,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 partial plasma AGA activity is associated 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187" w:lineRule="exact"/>
        <w:rPr>
          <w:rFonts w:ascii="Times New Roman" w:cs="Times New Roman" w:eastAsia="Times New Roman" w:hAnsi="Times New Roman"/>
          <w:sz w:val="18"/>
          <w:szCs w:val="18"/>
          <w:color w:val="auto"/>
        </w:rPr>
      </w:pPr>
    </w:p>
    <w:p>
      <w:pPr>
        <w:ind w:left="9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six patients in our Phase 2 and Phase 1 clinical trials for whom data are reported at six months or longer post-treatment with AVR-RD-01 (out of a total of eight patients enrolled to date) have exhibited sustained AGA enzyme activity in both the plasma and leukocytes. The following figures summarize the plasma and leukocyte AGA enzyme activity reported from the ongoing clinical trials of AVR-RD-01 as of July 15, 2019.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5" w:name="page26"/>
    <w:bookmarkEnd w:id="2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Phase 2 Patient 1: Sustained leukocyte and plasma enzyme activity at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165735</wp:posOffset>
            </wp:positionV>
            <wp:extent cx="5179695" cy="1080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7969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Baseline: </w:t>
      </w:r>
      <w:r>
        <w:rPr>
          <w:rFonts w:ascii="Times New Roman" w:cs="Times New Roman" w:eastAsia="Times New Roman" w:hAnsi="Times New Roman"/>
          <w:sz w:val="14"/>
          <w:szCs w:val="14"/>
          <w:i w:val="1"/>
          <w:iCs w:val="1"/>
          <w:color w:val="auto"/>
        </w:rPr>
        <w:t>The last available, non-missing observation prior to AVR-RD-01 infusion</w:t>
      </w: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Phase 2 Patient 2: Sustained leukocyte and plasma enzyme activity at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182880</wp:posOffset>
            </wp:positionV>
            <wp:extent cx="5179695" cy="1046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7969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Note: </w:t>
      </w:r>
      <w:r>
        <w:rPr>
          <w:rFonts w:ascii="Times New Roman" w:cs="Times New Roman" w:eastAsia="Times New Roman" w:hAnsi="Times New Roman"/>
          <w:sz w:val="14"/>
          <w:szCs w:val="14"/>
          <w:i w:val="1"/>
          <w:iCs w:val="1"/>
          <w:color w:val="auto"/>
        </w:rPr>
        <w:t>Patient 3 had plasma AGA activity of 0.740, leukocyte AGA activity of 9.94 as of 1 month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Baseline</w:t>
      </w:r>
      <w:r>
        <w:rPr>
          <w:rFonts w:ascii="Times New Roman" w:cs="Times New Roman" w:eastAsia="Times New Roman" w:hAnsi="Times New Roman"/>
          <w:sz w:val="14"/>
          <w:szCs w:val="14"/>
          <w:i w:val="1"/>
          <w:iCs w:val="1"/>
          <w:color w:val="auto"/>
        </w:rPr>
        <w:t>: The last available, non-missing observation prior to AVR-RD-01 infusion</w:t>
      </w:r>
    </w:p>
    <w:p>
      <w:pPr>
        <w:spacing w:after="0" w:line="1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Phase 1: Leukocyte and plasma enzyme activity levels trend consistently across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174625</wp:posOffset>
            </wp:positionV>
            <wp:extent cx="5179695" cy="2160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7969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w:t>
      </w:r>
      <w:r>
        <w:rPr>
          <w:rFonts w:ascii="Times New Roman" w:cs="Times New Roman" w:eastAsia="Times New Roman" w:hAnsi="Times New Roman"/>
          <w:sz w:val="14"/>
          <w:szCs w:val="14"/>
          <w:i w:val="1"/>
          <w:iCs w:val="1"/>
          <w:color w:val="auto"/>
        </w:rPr>
        <w:t>: Enzyme measurements are taken at ERT troughs; Note: Dotted line illustrative only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Patient #5’s Day 12 data point was utilized since the one month data was not obtained</w:t>
      </w:r>
    </w:p>
    <w:p>
      <w:pPr>
        <w:spacing w:after="0" w:line="80" w:lineRule="exact"/>
        <w:rPr>
          <w:sz w:val="20"/>
          <w:szCs w:val="20"/>
          <w:color w:val="auto"/>
        </w:rPr>
      </w:pPr>
    </w:p>
    <w:p>
      <w:pPr>
        <w:ind w:left="900" w:hanging="379"/>
        <w:spacing w:after="0" w:line="25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Vector Copy Number. </w:t>
      </w:r>
      <w:r>
        <w:rPr>
          <w:rFonts w:ascii="Times New Roman" w:cs="Times New Roman" w:eastAsia="Times New Roman" w:hAnsi="Times New Roman"/>
          <w:sz w:val="18"/>
          <w:szCs w:val="18"/>
          <w:color w:val="auto"/>
        </w:rPr>
        <w:t>Vector Copy Number, or VCN, refers to the average number of copies of the lentiviral-vector inserted gene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represents 5% to 10% of all nucleated circulating blood cells carrying one to two copies of the inserted gene, which we believe may be sufficient to result in clinically meaningful AGA enzyme activity in the case of Fabry disease, as suggested by our preliminary interim data from our ongoing clinical trials of our investigational gene therapy, AVR-RD-01, in Fabry disease.</w:t>
      </w:r>
    </w:p>
    <w:p>
      <w:pPr>
        <w:spacing w:after="0" w:line="1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26" w:name="page27"/>
    <w:bookmarkEnd w:id="26"/>
    <w:p>
      <w:pPr>
        <w:ind w:left="920"/>
        <w:spacing w:after="0" w:line="266" w:lineRule="auto"/>
        <w:rPr>
          <w:sz w:val="20"/>
          <w:szCs w:val="20"/>
          <w:color w:val="auto"/>
        </w:rPr>
      </w:pPr>
      <w:r>
        <w:rPr>
          <w:rFonts w:ascii="Times New Roman" w:cs="Times New Roman" w:eastAsia="Times New Roman" w:hAnsi="Times New Roman"/>
          <w:sz w:val="18"/>
          <w:szCs w:val="18"/>
          <w:color w:val="auto"/>
        </w:rPr>
        <w:t>All six patients in our Phase 2 and Phase 1 clinical trials for whom data are reported at six months or longer following administration of AVR-RD-01 have exhibited consistent VCN trends, with VCN levels for the first Phase 1 patient stable at over two years post-treatment. The following figures summarize the VCN observations from the ongoing clinical trials of AVR-RD-01.</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Patient 1 in Phase 2 Trial: VCN stable at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157480</wp:posOffset>
            </wp:positionV>
            <wp:extent cx="5145405" cy="1046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w:t>
      </w:r>
      <w:r>
        <w:rPr>
          <w:rFonts w:ascii="Times New Roman" w:cs="Times New Roman" w:eastAsia="Times New Roman" w:hAnsi="Times New Roman"/>
          <w:sz w:val="14"/>
          <w:szCs w:val="14"/>
          <w:i w:val="1"/>
          <w:iCs w:val="1"/>
          <w:color w:val="auto"/>
        </w:rPr>
        <w:t>: 0.1 VCN is indicative of approx. 5-10% of all nucleated circulating blood cells having an average of 1-2 copies of the transgene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Patient 2 in Phase 2 Trial: VCN at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174625</wp:posOffset>
            </wp:positionV>
            <wp:extent cx="5162550" cy="1012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6255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w:t>
      </w:r>
      <w:r>
        <w:rPr>
          <w:rFonts w:ascii="Times New Roman" w:cs="Times New Roman" w:eastAsia="Times New Roman" w:hAnsi="Times New Roman"/>
          <w:sz w:val="14"/>
          <w:szCs w:val="14"/>
          <w:i w:val="1"/>
          <w:iCs w:val="1"/>
          <w:color w:val="auto"/>
        </w:rPr>
        <w:t>: Patient 3 had VCN of 0.12 as of 1 month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0.1 </w:t>
      </w:r>
      <w:r>
        <w:rPr>
          <w:rFonts w:ascii="Times New Roman" w:cs="Times New Roman" w:eastAsia="Times New Roman" w:hAnsi="Times New Roman"/>
          <w:sz w:val="14"/>
          <w:szCs w:val="14"/>
          <w:i w:val="1"/>
          <w:iCs w:val="1"/>
          <w:color w:val="auto"/>
        </w:rPr>
        <w:t>VCN is indicative of approx. 5-10% of all nucleated circulating blood cells having an average of 1-2 copies of the transgene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Phase 1 Trial: Consistent VCN trend across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157480</wp:posOffset>
            </wp:positionV>
            <wp:extent cx="5171440" cy="1775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7144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w:t>
      </w:r>
      <w:r>
        <w:rPr>
          <w:rFonts w:ascii="Times New Roman" w:cs="Times New Roman" w:eastAsia="Times New Roman" w:hAnsi="Times New Roman"/>
          <w:sz w:val="14"/>
          <w:szCs w:val="14"/>
          <w:i w:val="1"/>
          <w:iCs w:val="1"/>
          <w:color w:val="auto"/>
        </w:rPr>
        <w:t>: 0.1 VCN is indicative of approx. 5-10% of all nucleated circulating blood cells having an average of 1-2 copies of the transgene</w:t>
      </w:r>
    </w:p>
    <w:p>
      <w:pPr>
        <w:spacing w:after="0" w:line="100" w:lineRule="exact"/>
        <w:rPr>
          <w:sz w:val="20"/>
          <w:szCs w:val="20"/>
          <w:color w:val="auto"/>
        </w:rPr>
      </w:pPr>
    </w:p>
    <w:p>
      <w:pPr>
        <w:ind w:left="900" w:right="200" w:hanging="379"/>
        <w:spacing w:after="0" w:line="25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Kidney and cardiac function stability</w:t>
      </w:r>
      <w:r>
        <w:rPr>
          <w:rFonts w:ascii="Times New Roman" w:cs="Times New Roman" w:eastAsia="Times New Roman" w:hAnsi="Times New Roman"/>
          <w:sz w:val="18"/>
          <w:szCs w:val="18"/>
          <w:color w:val="auto"/>
        </w:rPr>
        <w:t>. Secondary endpoints of our Phase 2 trial include measurements of kidney function, as measured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glomerular filtration rate, or eGFR, and measured glomerular filtration rate, or mGFR, as well as measures of cardiac function, as assessed by Left Ventricular Mass Index, or LVMI. eGFR is determined using the Chronic Kidney Disease Epidemiology Collaboration (CKD-EPI) formula and mGFR is determined using plasma clearance of iohexol. The left ventricular mass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In the case of the first patient in our Phase 2 clinical trial, a 9% reduction in LVM was observed from baseline to one year post-treatment with AVR-RD-01.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jc w:val="both"/>
        <w:ind w:left="920" w:right="400"/>
        <w:spacing w:after="0" w:line="266" w:lineRule="auto"/>
        <w:rPr>
          <w:sz w:val="20"/>
          <w:szCs w:val="20"/>
          <w:color w:val="auto"/>
        </w:rPr>
      </w:pPr>
      <w:r>
        <w:rPr>
          <w:rFonts w:ascii="Times New Roman" w:cs="Times New Roman" w:eastAsia="Times New Roman" w:hAnsi="Times New Roman"/>
          <w:sz w:val="18"/>
          <w:szCs w:val="18"/>
          <w:color w:val="auto"/>
        </w:rPr>
        <w:t>Halting the progression of organ damage and improving outcomes of patients is a key mission of our Company and our investigational gene therapy programs. Assessment of kidney and cardiac function versus baseline is a secondary efficacy measure in our Phase 2 protocol. Such assessment is not, however, included in the Phase 1 protocol, and therefore such parameters are not discussed for Phase 1.</w:t>
      </w:r>
    </w:p>
    <w:p>
      <w:pPr>
        <w:spacing w:after="0" w:line="176"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18"/>
          <w:szCs w:val="18"/>
          <w:color w:val="auto"/>
        </w:rPr>
        <w:t>As shown below, interim data-to-date in the first patient in our Phase 2 trial indicates kidney and cardiac functions have been stable and in the normal range at one year following administration of AVR-RD-01 investigational gene therapy.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Phase 2 Patient 1: Kidney and cardiac function stable at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174625</wp:posOffset>
            </wp:positionV>
            <wp:extent cx="1835150" cy="2143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3515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u w:val="single" w:color="auto"/>
          <w:color w:val="auto"/>
        </w:rPr>
        <w:t>https://www.kidney.org/atoz/content/gfr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w:t>
      </w:r>
      <w:r>
        <w:rPr>
          <w:rFonts w:ascii="Times New Roman" w:cs="Times New Roman" w:eastAsia="Times New Roman" w:hAnsi="Times New Roman"/>
          <w:sz w:val="14"/>
          <w:szCs w:val="14"/>
          <w:i w:val="1"/>
          <w:iCs w:val="1"/>
          <w:color w:val="auto"/>
        </w:rPr>
        <w:t>: mGFR is measured Glomerular Filtration Rate, eGFR is estimated Glomerular Filtration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133350</wp:posOffset>
            </wp:positionV>
            <wp:extent cx="2298065" cy="2143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9806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w:t>
      </w:r>
      <w:r>
        <w:rPr>
          <w:rFonts w:ascii="Times New Roman" w:cs="Times New Roman" w:eastAsia="Times New Roman" w:hAnsi="Times New Roman"/>
          <w:sz w:val="14"/>
          <w:szCs w:val="14"/>
          <w:i w:val="1"/>
          <w:iCs w:val="1"/>
          <w:color w:val="auto"/>
        </w:rPr>
        <w:t>: Alfakih K et al, J Magn Reson Imaging, 2003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w:t>
      </w:r>
      <w:r>
        <w:rPr>
          <w:rFonts w:ascii="Times New Roman" w:cs="Times New Roman" w:eastAsia="Times New Roman" w:hAnsi="Times New Roman"/>
          <w:sz w:val="14"/>
          <w:szCs w:val="14"/>
          <w:i w:val="1"/>
          <w:iCs w:val="1"/>
          <w:color w:val="auto"/>
        </w:rPr>
        <w:t>: EF is Ejection Fraction, LVMI is Left Ventricular Mass Index</w:t>
      </w:r>
    </w:p>
    <w:p>
      <w:pPr>
        <w:spacing w:after="0" w:line="94" w:lineRule="exact"/>
        <w:rPr>
          <w:sz w:val="20"/>
          <w:szCs w:val="20"/>
          <w:color w:val="auto"/>
        </w:rPr>
      </w:pPr>
    </w:p>
    <w:p>
      <w:pPr>
        <w:ind w:left="900" w:hanging="379"/>
        <w:spacing w:after="0" w:line="26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ERT Discontinuation by Phase 1 Patients. </w:t>
      </w:r>
      <w:r>
        <w:rPr>
          <w:rFonts w:ascii="Times New Roman" w:cs="Times New Roman" w:eastAsia="Times New Roman" w:hAnsi="Times New Roman"/>
          <w:sz w:val="18"/>
          <w:szCs w:val="18"/>
          <w:color w:val="auto"/>
        </w:rPr>
        <w:t>Three patients in the Phase 1 clinical trial who have been treated with AVR-RD-01,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investigational gene therapy, have discontinued ERT and have remained off ERT since such discontinuations. Patient 1 received his last ERT dose in July 2018, Patient 3 received his last ERT dose in May 2018, and Patient 4 received his last ERT dose in June 2019.</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8" w:name="page29"/>
    <w:bookmarkEnd w:id="28"/>
    <w:p>
      <w:pPr>
        <w:ind w:left="900" w:right="80" w:hanging="379"/>
        <w:spacing w:after="0" w:line="25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Safety Update. </w:t>
      </w:r>
      <w:r>
        <w:rPr>
          <w:rFonts w:ascii="Times New Roman" w:cs="Times New Roman" w:eastAsia="Times New Roman" w:hAnsi="Times New Roman"/>
          <w:sz w:val="18"/>
          <w:szCs w:val="18"/>
          <w:color w:val="auto"/>
        </w:rPr>
        <w:t>Interim clinical data for all eight patients dosed to date in the Phase 2 and Phase 1 clinical trials appear to indicate that our AVR-RD-01 investigational gene therapy has been generally well tolerated with no unexpected trends or safety events identified. No serious adverse events, or SAEs, related to the AVR-RD-01 drug product were reported as of the safety data cut-off dates of July 10, 2019 for the Phase 2 trial and May 24, 2019 for the Phase 1 trial. As of the respective safety data cut-off dates, four SAEs were reported in the Phase 2 trial and two SAEs were reported in the Phase 1 trial and were consistent with expectations for the myeloablative conditioning regimen, underlying Fabry disease, or pre-existing conditions.</w:t>
      </w:r>
    </w:p>
    <w:p>
      <w:pPr>
        <w:spacing w:after="0" w:line="186" w:lineRule="exact"/>
        <w:rPr>
          <w:rFonts w:ascii="Times New Roman" w:cs="Times New Roman" w:eastAsia="Times New Roman" w:hAnsi="Times New Roman"/>
          <w:sz w:val="18"/>
          <w:szCs w:val="18"/>
          <w:color w:val="auto"/>
        </w:rPr>
      </w:pPr>
    </w:p>
    <w:p>
      <w:pPr>
        <w:ind w:left="92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2 trial, the four SAEs that were reported through the safety data cut-off date of July 10, 2019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and two reports of febrile neutropenia (Grades 3 and 4, respectively) in separate patients following the conditioning regimen and treatment with AVR-RD-01 All four SAEs have subsequently resolved.</w:t>
      </w:r>
    </w:p>
    <w:p>
      <w:pPr>
        <w:spacing w:after="0" w:line="183" w:lineRule="exact"/>
        <w:rPr>
          <w:rFonts w:ascii="Times New Roman" w:cs="Times New Roman" w:eastAsia="Times New Roman" w:hAnsi="Times New Roman"/>
          <w:sz w:val="18"/>
          <w:szCs w:val="18"/>
          <w:color w:val="auto"/>
        </w:rPr>
      </w:pPr>
    </w:p>
    <w:p>
      <w:pPr>
        <w:ind w:left="92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1 trial, the two SAEs that were reported through the safety data cut-off date of May 24, 2019 included one report of Grade 3 febrile neutropenia and one report of Grade 2 thrombophlebitis, each occurring following the conditioning regimen and treatment with AVR-RD-01. Both SAEs have subsequently resolved, with the thrombophlebitis SAE verbally reported to the Company as resolved following the safety data cut-off date.</w:t>
      </w:r>
    </w:p>
    <w:p>
      <w:pPr>
        <w:spacing w:after="0" w:line="180" w:lineRule="exact"/>
        <w:rPr>
          <w:sz w:val="20"/>
          <w:szCs w:val="20"/>
          <w:color w:val="auto"/>
        </w:rPr>
      </w:pPr>
    </w:p>
    <w:p>
      <w:pPr>
        <w:ind w:left="920" w:right="120"/>
        <w:spacing w:after="0" w:line="282" w:lineRule="auto"/>
        <w:rPr>
          <w:sz w:val="20"/>
          <w:szCs w:val="20"/>
          <w:color w:val="auto"/>
        </w:rPr>
      </w:pPr>
      <w:r>
        <w:rPr>
          <w:rFonts w:ascii="Times New Roman" w:cs="Times New Roman" w:eastAsia="Times New Roman" w:hAnsi="Times New Roman"/>
          <w:sz w:val="18"/>
          <w:szCs w:val="18"/>
          <w:color w:val="auto"/>
        </w:rPr>
        <w:t>Low anti-AGA antibody titers have been detected in two patients, one in each of the trials, and we believe neither is considered to be of clinical relevance.</w:t>
      </w:r>
    </w:p>
    <w:p>
      <w:pPr>
        <w:spacing w:after="0" w:line="1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Clinical measurements of data, such as AGA enzyme activity and VCN, can provide valuable insight into the potential effectiveness of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CD34+ hematopoietic stem cell gene therapy following administration in a patient. However, such measurements can vary greatly during the initial weeks following administration of the therapy. We believe that the first meaningful measurements of AGA enzyme activity and VCN only start to emerge after sufficient time has passed following administration of the gene-modified CD34+ hematopoietic stem cells to allow what we believe to be a meaningful interpretation of results. For example, data collected during the early weeks following administration of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CD34+ hematopoietic stem cell gene therapy may be uninterpretable for reasons such as the manufactured drug product containing a random and indeterminable mixture of cells that may be dominated by late/mature progenitor cells, compared to early progenitor cells and long-term engrafting cells. In such circumstances, the large number of late/mature progenitor cells are over-represented in the collected data in the first few weeks following administration, but are subsequently permanently lost. For these reasons, we have presented in the figures above, and in the future intend to present, AGA enzyme activity data and VCN for patients only after which sufficient time has passed following administration of AVR-RD-01 to allow what we believe to be a meaningful interpretation of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Pipeline Programs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Company-sponsored Phase 1/2 clinical trial evaluating AVR-RD-02 in Gaucher disease, or GAU-201, has commenced active recruitment. The initial clinical site is in Canada and we intend to open additional clinical sites in Australia, the United States and other countries pending regulatory clearances. The first patient in this clinical trial is expected to be enrolled in the first quarter of 2020, with dosing expected in the second quarter of 2020. Additionally, in October 2019, the FDA granted our request for orphan-drug designation for AVR-RD-02 for the treatment of Gaucher disease.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investigator-sponsored Phase 1/2 clinical trial evaluating AVR-RD-04 in cystinosis is being conducted by our collaborators at the University of California, San Diego, or UCSD. The first patient in this clinical trial was dosed in October 2019, and the site is continuing to actively recruit additional patients. In June 2019, the UCSD cystinosis study group announced that it had been awarded a grant from the California Institute of Regenerative Medicine, or CIRM, of approximately $12 million to directly fund this phase of the cystinosis clinical trial.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Pompe disease program is advancing in early pre-clinical development. The IND-enabling pre-clinical program is anticipated to be initiated in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Plato Platform</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Plato is our commercial-stage platform. It is an ex vivo gene therapy platform incorporating multiple recent upgrades including an optimized lentiviral vector, which we refer to as LV2, a closed, automated manufacturing system, and a refined approach to conditioning using busulfan with therapeutic drug monitoring. These three process changes, or upgrades, were recently cleared by applicable regulatory bodies in the United States, Canada and Australia for use in the Phase 2 clinical trial of AVR-RD-01 for Fabry disease and in Canada for the GAU-201 clinical trial of AVR-RD-02 for Gaucher disease. We intend to utilize the plato platform with these process changes for all future patients enrolling in our Phase 2 clinical trial of AVR-RD-01 for Fabry disease and our GAU-201 clinical trial for Gaucher disease.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Components of Our 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68" w:lineRule="exact"/>
        <w:rPr>
          <w:sz w:val="20"/>
          <w:szCs w:val="20"/>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53" w:lineRule="exact"/>
        <w:rPr>
          <w:rFonts w:ascii="Times New Roman" w:cs="Times New Roman" w:eastAsia="Times New Roman" w:hAnsi="Times New Roman"/>
          <w:sz w:val="18"/>
          <w:szCs w:val="18"/>
          <w:color w:val="auto"/>
        </w:rPr>
      </w:pPr>
    </w:p>
    <w:p>
      <w:pPr>
        <w:ind w:left="900" w:right="26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clinical trial materials and commercial materials, including manufacturing validation batches;</w:t>
      </w:r>
    </w:p>
    <w:p>
      <w:pPr>
        <w:spacing w:after="0" w:line="53"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costs, depreciation and other expenses, which include rent and utilities.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 completion of specific tasks using information provided to us by our service providers.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8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has modified the presentation within the following tables to include expenses related to other preclinical development activities outside of its already presented programs in its direct research and development expenses, which were previously included as other unallocated research and development expenses. We have adjusted prior period amounts to reflect the changes in presentation made in the current period. The table below summarizes our research and development expenses incurred by program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Fabry</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Gaucher</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Pompe</w:t>
            </w: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Cystinosis</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0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2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17,322</w:t>
            </w:r>
          </w:p>
        </w:tc>
        <w:tc>
          <w:tcPr>
            <w:tcW w:w="2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tcBorders>
              <w:bottom w:val="single" w:sz="8" w:color="CFF0FC"/>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5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4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5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CFF0FC"/>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30" w:name="page31"/>
    <w:bookmarkEnd w:id="30"/>
    <w:p>
      <w:pPr>
        <w:ind w:right="300"/>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2" w:lineRule="exact"/>
        <w:rPr>
          <w:sz w:val="20"/>
          <w:szCs w:val="20"/>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design, initiation and completion of,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 and</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money market funds and other bank deposits.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consists of foreign exchange gain or loss.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Preferred Stock Warrant Liability</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connection with entering into our loan agreement, we agreed to issue a warrant to purchase shares of our preferred stock to the lender. Prior to the completion of our IPO, we classified the warrant as a liability on our consolidated balance sheet and we were required to remeasure to fair value at each reporting date. We recognized changes in the fair value of the warrant liability as a component of other income (expense), net in our consolidated statements of operations and comprehensive loss. Upon the closing of our IPO, the warrant to purchase preferred stock was converted to a warrant to purchase common stock. The carrying amount of the warrant to purchase preferred stock as of the date of our IPO was transferred to additional paid in capital. No further revaluation is needed for the warrant to purchase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stock purchase agreement with University Health Network, or UHN, provided for a payment to UHN upon completion of an initial public offering, which included our IPO, if UHN’s fully-diluted percentage ownership of our company was reduced within a range of specified percentages. We classified the IPO dilution payment obligation as a liability on our consolidated balance sheet and we were required to remeasure to fair value at each reporting date. We recognized changes in the fair value of the derivative liability as a component of other income (expense), net in our consolidated statements of operations and comprehensive loss. On June 21, 2018, in connection with our IPO, we remeasured the fair value of the derivative liability to $2.0 million as we were required to pay the dilution payment as mentioned above, which was paid in July 2018.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September 30, 2019 and 2018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1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40" w:type="dxa"/>
            <w:vAlign w:val="bottom"/>
          </w:tcPr>
          <w:p>
            <w:pPr>
              <w:spacing w:after="0"/>
              <w:rPr>
                <w:sz w:val="19"/>
                <w:szCs w:val="19"/>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income, net</w:t>
            </w:r>
          </w:p>
        </w:tc>
        <w:tc>
          <w:tcPr>
            <w:tcW w:w="10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4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September 30, 2019 and 2018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Fabry</w:t>
            </w:r>
          </w:p>
        </w:tc>
        <w:tc>
          <w:tcPr>
            <w:tcW w:w="8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Gaucher</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Pompe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Cystinosis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$13.0 million for the three months ended September 30, 2019, as compared to $9.2 million for the three months ended September 30, 2018. The increase of $3.8 million was primarily due to an increase of $0.4 million in direct costs related to our Fabry program, a decrease of $1.0 million in direct costs related to our Gaucher program, an increase of $1.8 million in direct costs related to our Pompe program, an increase of $0.7 million in direct costs related to our Other programs and an increase of $1.9 million in unallocated research and development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direct costs related to our Fabry program was primarily due to a $0.2 million increase in manufacturing costs.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decrease in direct costs related to our Gaucher program was primarily due to a $0.5 million decrease in manufacturing costs and a $0.5 million decrease in clinical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direct costs related to our Pompe program was primarily due to a $1.8 million increase in preclinical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direct costs related to our Other programs was primarily due to a $0.7 million increase in preclinical costs.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increase in unallocated research and development expenses was primarily due to an increase of $1.3 million in personnel-related costs, including non-cash stock-based compensation, as a result of hiring additional personnel in our research and development department and an increase of $0.6 million in facilities costs and rent expense. Personnel-related costs for the three months ended September 30, 2019 and 2018 included non-cash stock-based compensation expense of $0.9 million and $0.2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three months ended September 30, 2019, compared to $3.0 million for the three months ended September 30, 2018. The increase of $2.0 million was primarily due to an increase of $1.3 million in personnel-related costs, including non-cash stock-based compensation and an increase of $0.7 million in consulting costs. The increase in personnel-related costs was due to the hiring of additional personnel in our general and administrative functions.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income, net was income of $0.9 million for the three months ended September 30, 2019, compared to $0.6 million for the three months ended September 30, 2018. The increase in other income of $0.3 million was due to an increase in interest income of $0.3 million during the three months ended September 30, 2019.</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nine months ended September 30, 2019 and 2018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20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nine months ended September 30, 2019 and 2018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Fabry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0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Gaucher</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Cystinosis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Pompe</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$37.8 million for the nine months ended September 30, 2019, compared to $22.3 million for the nine months ended September 30, 2018. The increase of $15.5 million was primarily due to an increase of $0.5 million in direct costs related to our Fabry program, an increase of $0.3 million in direct costs related to our Gaucher program, an increase of $3.8 million in direct costs related to our Pompe program, an increase of $2.7 million in direct costs related to our Other programs and an increase of $8.0 million in unallocated research and development costs.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direct costs related to our Fabry program was primarily due to an increase of $0.8 million in consulting costs and an increase of $0.3 in other direct costs offset by a decrease of $0.5 million in clinical costs and a decrease of $0.2 million in manufacturing costs.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increase in direct costs related to our Gaucher program was primarily due to an increase in clinical costs of $0.7 million and an increase in preclinical costs of $0.7 million offset by a decrease of $1.0 million in manufacturing costs and a decrease of $0.2 million in consulting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direct costs related to our Pompe program was primarily due to an increase in preclinical costs of $3.6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direct costs related to our Other programs was primarily due to a $2.7 million increase in preclinical costs.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4" w:name="page35"/>
    <w:bookmarkEnd w:id="34"/>
    <w:p>
      <w:pPr>
        <w:ind w:right="120"/>
        <w:spacing w:after="0" w:line="261" w:lineRule="auto"/>
        <w:rPr>
          <w:sz w:val="20"/>
          <w:szCs w:val="20"/>
          <w:color w:val="auto"/>
        </w:rPr>
      </w:pPr>
      <w:r>
        <w:rPr>
          <w:rFonts w:ascii="Times New Roman" w:cs="Times New Roman" w:eastAsia="Times New Roman" w:hAnsi="Times New Roman"/>
          <w:sz w:val="18"/>
          <w:szCs w:val="18"/>
          <w:color w:val="auto"/>
        </w:rPr>
        <w:t>The increase in unallocated research and development costs was primarily due to an increase of $6.8 million in personnel-related costs, including non-cash stock-based compensation, as a result of hiring additional personnel in our research and development department, an increase of $2.0 million in facilities and rent expense, partially off-set by a decrease of $0.6 million in consulting costs and a $0.3 million decrease in preclinical costs. Personnel-related costs for the nine months ended September 30, 2019 and 2018 included non-cash stock-based compensation expense of $2.6 million and $0.4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$14.6 million for the nine months ended September 30, 2019, compared to $7.3 million for the nine months ended September 30, 2018. The increase of $7.3 million was primarily due to an increase of $3.8 million in personnel-related costs, including non-cash stock-based compensation, an increase of $2.3 million in costs associated with being a publicly-traded company, including consulting, insurance and legal expenses, and an increase of $1.2 million in facilities costs and rent expense.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Other income (expense), net was income of $2.1 million for the nine months ended September 30, 2019, compared to an expense of $0.8 million for the nine months ended September 30, 2018. The increase in other income (expense) of $2.9 million was primarily due to a $1.6 million expense related to the change in fair value of the derivative liability which was recognized during the nine months ended September 30, 2018, while no expense related to the change in fair value of the derivative liability was recognized during the nine months ended September 30, 2019, as well as an increase of $1.1 million in interest income during the nine months ended September 30, 2019.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our July 2019 Follow-On Offering. Through September 30, 2019, we had received gross cash proceeds of $87.5 million and $114.7 million from sales of our preferred stock and common stock, respectively.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July 1, 2019, we filed a shelf registration statement on Form S-3 with the SEC,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the Company of up to $50.0 million of our common stock from time to time in “at-the-market” offerings under the Shelf. The Shelf was declared effective by the SEC on July 10, 2019.</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July 2019, we closed the July 2019 Follow-On Offering as an underwritten public offering under the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approximately $129.5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excess of immediate requirements is invested primarily with a view to liquidity and capital preservation.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(in thousands):</w:t>
      </w:r>
    </w:p>
    <w:p>
      <w:pPr>
        <w:spacing w:after="0" w:line="232"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(819)</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129,964</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160,426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80,060</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8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2019, operating activities used $49.1 million of cash, cash equivalents and restricted cash, resulting from our net loss of $50.3 million and net cash used by changes in our operating assets and liabilities of $4.2 million, partially offset by non-cash charges of $5.4 million. The net changes in our operating assets and liabilities were primarily due to increases in prepaid expenses and other current assets of $3.6 million due to ongoing preclinical, manufacturing, and clinical trial efforts and decreases in accounts payable of $1.1 million. The non-cash charges primarily included $4.9 million of stock-based compensation expense and $0.6 million of depreciation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2018, operating activities used $26.2 million of cash and cash equivalents, resulting from our net loss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$30.3 million, partially offset by non-cash charges of $3.3 million and net cash provided by changes in our operating assets and liabilities of $0.8 million. The non-cash charges primarily included $1.1 million of stock-based compensation expense, $0.2 million of depreciation expense, $1.6 million of change in fair value of the derivative liability and $0.2 million of change in fair value of the preferred stock warrant liability. The net changes in our operating assets and liabilities was primarily due to increases in liabilities of $2.3 million due to ongoing research, development, and clinical trial efforts and partially offset by increases in assets of $1.5 million, including a $1.1 million increase in prepaid expense and a $0.4 million increase in other assets due to a $0.2 million security deposit for a new lease that was executed in 2018.</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we used $0.8 million of cash and cash equivalents in investing activities consisting of purchases of property and equipment. During the nine months ended September 30, 2018, we used $1.6 million of cash and cash equivalents in investing activities consisting of $1.3 million of purchases of property and equipment and a $0.3 million increase in restricted cash due to a new lease signed in August 2018.</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$130.0 million, primarily consisting of net cash proceeds of $129.5 million from our July 2019 Follow-On Offering.</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net cash provided by financing activities was $160.4 million, primarily consisting of net cash proceeds of $104.1 million from our IPO in June 2018 and net cash proceeds of $58.3 million from our issuance of Series B preferred stock in January 2018, and all partially offset by a $2.0 million payment to UHN.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preclinical activities and clinical trials of our product candidates. In addition, we expect to continue to incur additional costs associated with operating as a public company that we had not incurred as a private company. Our expenses will also increase as we:</w:t>
      </w:r>
    </w:p>
    <w:p>
      <w:pPr>
        <w:spacing w:after="0" w:line="68" w:lineRule="exact"/>
        <w:rPr>
          <w:sz w:val="20"/>
          <w:szCs w:val="20"/>
          <w:color w:val="auto"/>
        </w:rPr>
      </w:pPr>
    </w:p>
    <w:p>
      <w:pPr>
        <w:ind w:left="900" w:right="380" w:hanging="379"/>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continuing enrollment in our ongoing Phase 2 clinical trial for AVR-RD-01, recruitment and activities related to our Phase 1/2 clinical trial for AVR-RD-02, and activities related to the investigator-sponsored Phase 1/2 clinical trial for AVR-RD-04;</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clinical trials and preclinical studies for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or in-license or acquire additional product candidates and technologies;</w:t>
      </w:r>
    </w:p>
    <w:p>
      <w:pPr>
        <w:spacing w:after="0" w:line="11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seek to industrialize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approach into a robust, scalable and, if approved, commercially viable process;</w:t>
      </w:r>
    </w:p>
    <w:p>
      <w:pPr>
        <w:spacing w:after="0" w:line="119"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commercial and scientific personnel;</w:t>
      </w:r>
    </w:p>
    <w:p>
      <w:pPr>
        <w:spacing w:after="0" w:line="117" w:lineRule="exact"/>
        <w:rPr>
          <w:rFonts w:ascii="Times New Roman" w:cs="Times New Roman" w:eastAsia="Times New Roman" w:hAnsi="Times New Roman"/>
          <w:sz w:val="18"/>
          <w:szCs w:val="18"/>
          <w:color w:val="auto"/>
        </w:rPr>
      </w:pPr>
    </w:p>
    <w:p>
      <w:pPr>
        <w:ind w:left="900" w:right="200" w:hanging="379"/>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physical infrastructure to support our research and development;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incur additional public company-related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36" w:name="page37"/>
    <w:bookmarkEnd w:id="36"/>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2019, together with the net proceeds from our July 2019 Follow-On Offering, will enable us to fund our operating expenses and capital expenditure requirements into the second half of 2021.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2018, filed with the SEC on March 25, 2019. Except as set forth below, there have been no significant changes to the table contained therein as of September 30, 2019.</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our license agreements with UHN, BioMarin, GenStem and the Lund University rights holders, we are required to make certain milestone and royalty payments to our licensors. In November 2019, we made a payment of $2.0 million in connection with the dosing of the first patient in the investigator-sponsored Phase 1/2 clinical trial of AVR-RD-04 in cystinosis in the United States. The next anticipated payment under our license agreement with GenStem is $2.0 million, which would become due following the dosing of the first patient in the first pivotal clinical trial of AVR-RD-04 in cystinosis in the United States.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2019,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2018, which was filed with the SEC on March 25, 2019, and the notes to the consolidated financial statements included in Item 1, “Condensed Consolidated Unaudited Financial Statements,” of this Quarterly Report on Form 10-Q.</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Securities and Exchange Commission.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at the beginning of this Quarterly Report on Form 10-Q.</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we had cash and cash equivalents of $206.4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September 30, 2019 and 2018, we recognized foreign currency transaction losses of $6 and $5, respectively. During each of the nine months ended September 30, 2019 and 2018, we recognized foreign currency transaction losses of $74 and $20,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38" w:name="page39"/>
    <w:bookmarkEnd w:id="3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officer, respectively), evaluated the effectiveness of our disclosure controls and procedures as of September 30,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September 30, 2019, our Chief Executive Officer and Chief Financial Officer concluded that, as a result of the material weaknesses in our internal control over financial reporting as described below and in Part II, Item 1A. of our Annual Report on Form 10-K for the fiscal year ended December 31, 2018, our disclosure controls and procedures were not effective as of September 30, 2019. Notwithstanding the material weaknesses, our management has concluded that the financial statements included elsewhere in this report present fairly, in all material respects, our financial position, results of operations, changes in stockholders’ equity (deficit) and cash flows in conformity with GAAP.</w:t>
      </w:r>
    </w:p>
    <w:p>
      <w:pPr>
        <w:spacing w:after="0" w:line="19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In connection with the audit of our consolidated financial statements for the years ended December 31, 2017 and 2018,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2018, we began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 Although progress has been made to strengthen our controls, management and our independent registered public accounting firm have concluded that the material weaknesses remain unremediated as of December 31, 2018 and September 30, 2019. In addition, in February 2019, one of our vendors was subject to a cyberattack by a third-party, which resulted in the payment by us of a fraudulent invoice.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audit of our consolidated financial statements for the year ended December 31, 2018, we and our independent registered public accounting firm identified a further material weakness in our internal control over financial reporting related to deficiencies in our controls over the financial statement close process. Specifically, there was a lack of controls over the accounting for accrued research and development expenses.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measures we are implementing are subject to continued management review supported by confirmation and testing, as well as audit committee oversight. Management remains committed to the implementation of remediation efforts to address these material weaknesses.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weaknesses previously disclosed, and as described above, will continue to exist.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Other than the changes intended to remediate the material weaknesses noted above, no change in our internal control over financial reporting (as defined in Rules 13a-15(f) and 15d-15(f) under the Exchange Act) occurred during the three months ended September 30, 2019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and claims that arise in the ordinary course of our business activities. Although the results of litigation and claims cannot be predicted with certainty, as of September 30, 2019,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as well as our other filings with the Securities and Exchange Commission,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inception. We expect to incur net losses for the foreseeable future and may never achieve or maintain profitability.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net losses. We incurred net losses of $46.4 million and $18.6 million for the years ended December 31, 2018 and 2017, respectively, and $50.3 million for the nine months ended September 30, 2019. We historically have financed our operations primarily through private placements of our preferred stock and our initial public offering and follow-on public offering of our common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80" w:lineRule="exact"/>
        <w:rPr>
          <w:sz w:val="20"/>
          <w:szCs w:val="20"/>
          <w:color w:val="auto"/>
        </w:rPr>
      </w:pPr>
    </w:p>
    <w:p>
      <w:pPr>
        <w:ind w:left="900" w:right="360" w:hanging="379"/>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continuing enrollment in our ongoing Phase 2 clinical trial for AVR-RD-01, recruitment and activities related to our Phase 1/2 clinical trial for AVR-RD-02, and activities related to the investigator-sponsored Phase 1/2 clinical trial for AVR-RD-04;</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additional clinical trials and preclinical studies for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or in-license additional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to commercialize any product candidates for which we may obtain marketing approval;</w:t>
      </w:r>
    </w:p>
    <w:p>
      <w:pPr>
        <w:spacing w:after="0" w:line="126" w:lineRule="exact"/>
        <w:rPr>
          <w:rFonts w:ascii="Times New Roman" w:cs="Times New Roman" w:eastAsia="Times New Roman" w:hAnsi="Times New Roman"/>
          <w:sz w:val="17"/>
          <w:szCs w:val="17"/>
          <w:color w:val="auto"/>
        </w:rPr>
      </w:pPr>
    </w:p>
    <w:p>
      <w:pPr>
        <w:ind w:left="900" w:right="120" w:hanging="379"/>
        <w:spacing w:after="0" w:line="284"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our implementation of our plato platform as we seek to industrialize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approach into a robust, scalable and, if our product candidates are approved, commercially viable process;</w:t>
      </w:r>
    </w:p>
    <w:p>
      <w:pPr>
        <w:spacing w:after="0" w:line="52"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commercial and scientific personnel;</w:t>
      </w:r>
    </w:p>
    <w:p>
      <w:pPr>
        <w:spacing w:after="0" w:line="117" w:lineRule="exact"/>
        <w:rPr>
          <w:rFonts w:ascii="Times New Roman" w:cs="Times New Roman" w:eastAsia="Times New Roman" w:hAnsi="Times New Roman"/>
          <w:sz w:val="18"/>
          <w:szCs w:val="18"/>
          <w:color w:val="auto"/>
        </w:rPr>
      </w:pPr>
    </w:p>
    <w:p>
      <w:pPr>
        <w:ind w:left="900" w:right="18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physical infrastructure to support our research and development;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incur additional public company-related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0" w:name="page41"/>
    <w:bookmarkEnd w:id="40"/>
    <w:p>
      <w:pPr>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do not expect to do so for the next several years, if ever.</w:t>
      </w:r>
    </w:p>
    <w:p>
      <w:pPr>
        <w:spacing w:after="0" w:line="121"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2" w:lineRule="exact"/>
        <w:rPr>
          <w:sz w:val="20"/>
          <w:szCs w:val="20"/>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preclinical and clinical development of our product candidates and identifying new gene therapy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product candidates for which we complete clinical trials;</w:t>
      </w:r>
    </w:p>
    <w:p>
      <w:pPr>
        <w:spacing w:after="0" w:line="117" w:lineRule="exact"/>
        <w:rPr>
          <w:rFonts w:ascii="Times New Roman" w:cs="Times New Roman" w:eastAsia="Times New Roman" w:hAnsi="Times New Roman"/>
          <w:sz w:val="18"/>
          <w:szCs w:val="18"/>
          <w:color w:val="auto"/>
        </w:rPr>
      </w:pPr>
    </w:p>
    <w:p>
      <w:pPr>
        <w:ind w:left="900" w:right="68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adequate coverage and reimbursement by government and third-party payors for our product candidates;</w:t>
      </w:r>
    </w:p>
    <w:p>
      <w:pPr>
        <w:spacing w:after="0" w:line="117"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if approved, as a viable treatment option;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right="56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preclinical development and clinical trials for our other product candidates;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8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manufacturing process development and evaluation of third-party manufacturers;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 of our products, should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900" w:right="6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cause us to relinquish valuable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initiated our ongoing Phase 2 clinical trial for AVR-RD-01 in June 2018, and there are two investigator-sponsored Phase I clinical trials in progress relating to AVR-RD-01 for Fabry disease and AVR-RD-04 for cystinosis,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the implementation of our plato platform with our planned upgrades, including our transition to TDM conditioning using busulfan for our single-agent conditioning regimen,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we have not yet dosed any patients using our plato platform, which we plan to utilize for the majority of patients in our ongoing Phase 2 clinical trial for AVR-RD-01. The transition to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achieve the same favorable preliminary results observed to date in the Phase 1 and Phase 2 clinical trials of AVR-RD-01.</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3" w:name="page44"/>
    <w:bookmarkEnd w:id="43"/>
    <w:p>
      <w:pPr>
        <w:ind w:right="180"/>
        <w:spacing w:after="0" w:line="261" w:lineRule="auto"/>
        <w:rPr>
          <w:sz w:val="20"/>
          <w:szCs w:val="20"/>
          <w:color w:val="auto"/>
        </w:rPr>
      </w:pPr>
      <w:r>
        <w:rPr>
          <w:rFonts w:ascii="Times New Roman" w:cs="Times New Roman" w:eastAsia="Times New Roman" w:hAnsi="Times New Roman"/>
          <w:sz w:val="18"/>
          <w:szCs w:val="18"/>
          <w:color w:val="auto"/>
        </w:rPr>
        <w:t>The FDA continues to develop its approach to assessing gene and cell therapy products. For example, the agency has released a series of draft guidance documents relating to, among other topics, various aspects of gene therapy product development, review, and approval, including aspects relating to clinical and manufacturing issues related to gene therapy products. We cannot be certain whether such guidance will be relevant to or have an impact on our gene therapy candidates or the duration or expense of any applicable regulatory development and review processes.</w:t>
      </w:r>
    </w:p>
    <w:p>
      <w:pPr>
        <w:spacing w:after="0" w:line="2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against the vector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transiently compromises the patient’s immune system, known as neutropenia, and ability to form blood clots, known as thrombocytopenia.</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planning to implement a transition in connection with our company-sponsored clinical trials, towards a new conditioning regimen for our product candidates utilizing busulfan as the myeloablative conditioning agent instead of the melphalan that is currently used. The use of this conditioning regimen is designed to utilize therapeutic drug monitoring, or TDM, to achieve a balance between the removal of a sufficient amount of bone marrow cells from a patient against potential risks such as toxicity or graft failure. While we anticipate that the conditioning regimen may be performed during a limited hospital stay or potentially through an outpatient procedure on a case-by-case basis as directed by a patient’s physician, we cannot guarantee that the conditioning will not require a lengthier hospitalization. Our conditioning regimens may not be successful or may nevertheless result in adverse side effects. For example, in the ongoing investigator-sponsored Phase 1 clinical trial and in the ongoing company-sponsored Phase 2 clinical trial of AVR-RD-01, several serious adverse events, including dehydration, nausea and vomiting, thrombophlebitis, and suppression of neutrophils (febrile neutropenia) following the conditioning process, were reported. While such adverse events in connection with conditioning are expected,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We are aware that there have been cases of therapy-related myelodysplastic syndrome, or t-MDS, a type of blood disorder that is a potential precursor to acute myeloid leukemia, in patients with pre-existing cancer where busulfan treatment was posited to be a contributing factor to this secondary malignancy. However, we have reviewed over 700 published cases of busulfan exposure preceding bone marrow transplant, hematopoietic cell transplant, or ex-vivo gene therapy for non-malignant indications, of which 648 were from peer-reviewed literature. Of the 648 busulfan exposures reported in peer-reviewed literature, none of the cases reported t-MDS. Of the 67 exposures reported in non-peer-reviewed published abstracts, 66 reported no cases of t-MDS resulting from busulfan exposure, and in one case it was reported that a patient developed t-MDS and that busulfan treatment was posited to be a contributing factor. That case has not yet been peer-reviewed, and we believe that due to the presence of other confounding factors in that patient, it has not been conclusively determined that busulfan exposure was the cause of that patient’s t-MDS. However, there can be no guarantees that our plan to utilize busulfan in our conditioning regimen will not result in similar adverse events. In addition, although we intend as a precautionary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ind w:right="460"/>
        <w:spacing w:after="0" w:line="261" w:lineRule="auto"/>
        <w:rPr>
          <w:sz w:val="20"/>
          <w:szCs w:val="20"/>
          <w:color w:val="auto"/>
        </w:rPr>
      </w:pPr>
      <w:r>
        <w:rPr>
          <w:rFonts w:ascii="Times New Roman" w:cs="Times New Roman" w:eastAsia="Times New Roman" w:hAnsi="Times New Roman"/>
          <w:sz w:val="18"/>
          <w:szCs w:val="18"/>
          <w:color w:val="auto"/>
        </w:rPr>
        <w:t>measure to implement new procedures, if and when available, to screen for certain pre-cancerous genetic mutations prior to commencement of the conditioning regimen as an additional risk reduction measure, there can be no guarantees that these procedures will be successful. Even if we are able to demonstrate that adverse events are not product-related, such occurrences could adversely affect patient recruitment or the ability of enrolled patients to complete the clinical trial.</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76" w:lineRule="exact"/>
        <w:rPr>
          <w:sz w:val="20"/>
          <w:szCs w:val="20"/>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a product candidate;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distributed, dispensed, or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6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AVR-RD-01 is being investigated in an ongoing investigator-sponsored Phase 1 clinical trial and an ongoing company-sponsored Phase 2 clinical trial, and an investigator-sponsored Phase 1/2 clinical trial of AVR-RD-04 was recently commenced, we have not commenced patient dosing in clinical trials for any of our other product candidates. We have never completed a pivotal clinical trial, and may be unable to do so for any product candidates we may develop, including AVR-RD-01 and AVR-RD-04.</w:t>
      </w:r>
    </w:p>
    <w:p>
      <w:pPr>
        <w:spacing w:after="0" w:line="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at an early stage of development for all of our product candidates including AVR-RD-01. As of November 1, 2019, our product candidate AVR-RD-01 has been administered only to five patients in an ongoing investigator-sponsored Phase 1 clinical trial and to three patients in our ongoing Phase 2 clinical trial, with dosing dates for the second and third patients in our Phase 2 clinical trial in December 2018 and May 2019, respectively. The ongoing Phase 1 and Phase 2 clinical trials for AVR-RD-01 must be completed, as well as potentially additional pivotal clinical trials, in order to obtain FDA approval to market AVR-RD-01. We have limited experience in preparing, submitting and prosecuting regulatory filings, and have not previously submitted a biologics license application, or BLA, for any product candidate.</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is the change, from baseline to one year post-treatment with AVR-RD-01, in the average number of Gb3 inclusions per PTC, as measured in a patient kidney biopsy. The second patient in the Phase 2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we have not yet conducted any company-sponsored clinical trials of any of our product candidates in the United States, and our interactions with the FDA have been limited.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In 2018, we held a pre-IND meeting with the FDA to discuss the requirements to commence clinical trials in the United States. In April 2019, we received clearance from the FDA for the IND application of AVR-RD-01, and we expect to open a U.S. site for our ongoing Phase 2 clinical trial of AVR-RD-01 in the fourth quarter of 2019. However, there can be no assurance that we will commence clinical trials in the United States on our expected timeframe or at all. In addition, while we have received clearance from the FDA to commence clinical testing in the United States for AVR-RD-01,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5" w:name="page46"/>
    <w:bookmarkEnd w:id="45"/>
    <w:p>
      <w:pPr>
        <w:ind w:right="20"/>
        <w:spacing w:after="0" w:line="253" w:lineRule="auto"/>
        <w:rPr>
          <w:sz w:val="20"/>
          <w:szCs w:val="20"/>
          <w:color w:val="auto"/>
        </w:rPr>
      </w:pPr>
      <w:r>
        <w:rPr>
          <w:rFonts w:ascii="Times New Roman" w:cs="Times New Roman" w:eastAsia="Times New Roman" w:hAnsi="Times New Roman"/>
          <w:sz w:val="18"/>
          <w:szCs w:val="18"/>
          <w:color w:val="auto"/>
        </w:rPr>
        <w:t>The ongoing Phase 1 clinical trial of AVR-RD-01 is an investigator-sponsored trial being conducted by University Health Network. In addition, the Phase 1/2 clinical trial of AVR-RD-04 is also an investigator-sponsored clinical trial, which is being conducted by our collaborators at the University of California, San Diego. In October 2019, the first patient in the Phase 1/2 clinical trial of AVR-RD-04 was dosed.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early clinical trials may not be indicative of results obtained in later trials.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Based on results observed from ongoing trials of AVR-RD-01, there can be no assurance that increased levels of AGA in patients treated with AVR-RD-01 will be maintained over time. In addition, while three patients from the ongoing investigator-sponsored Phase 1 clinical trial of AVR-RD-01 have discontinued ERT, there can be no assurance that these patients, or others who in the future may discontinue ERT, will remain off ERT.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While we are aware that the FDA utilized an efficacy endpoint based on patients’ kidney biopsy in the recent approval of Migalastat for Fabry disease, for which we are also measuring as our primary efficacy endpoint in our ongoing Phase 2 clinical trial of AVR-RD-01, there can be no guarantees that regulatory agencies will permit us to use the same endpoint in connection with further development of AVR-RD-01. Therefore,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and AVR-RD-03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29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6" w:name="page47"/>
    <w:bookmarkEnd w:id="46"/>
    <w:p>
      <w:pPr>
        <w:spacing w:after="0" w:line="255"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patients had been identified, we encountered patient pre-screening failures that impacted the commencement of enrollment. We are continuing our enrollment activities for AVR-RD-02 in Canada and we intend to open additional clinical sites in Australia, the United States and other countries pending regulatory clearances. We expect to enroll the first patient in the Phase 1/2 clinical trial of AVR-RD-02 for Gaucher in the first quarter of 2020, and to dose such patient in the second quarter of 2020. Patient enrollment and trial completion is affected by factors including the:</w:t>
      </w:r>
    </w:p>
    <w:p>
      <w:pPr>
        <w:spacing w:after="0" w:line="77" w:lineRule="exact"/>
        <w:rPr>
          <w:sz w:val="20"/>
          <w:szCs w:val="20"/>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subjects;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900" w:right="620" w:hanging="379"/>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gene therapy-based approaches to treatment of diseases, including any required pretreatment conditioning regimens;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including our ongoing Phase 2 clinical trial for AVR-RD-01 for which enrollment is ongoing and our Phase 1/2 clinical trial for AVR-RD-02 for which we have commenced recruitment,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76" w:lineRule="exact"/>
        <w:rPr>
          <w:sz w:val="20"/>
          <w:szCs w:val="20"/>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contract research organizations, or CROs, and physicians;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in some countries of established groups with sufficient regulatory expertise for review of gene therapy protocols;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900" w:right="400" w:hanging="379"/>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62" w:lineRule="exact"/>
        <w:rPr>
          <w:sz w:val="20"/>
          <w:szCs w:val="20"/>
          <w:color w:val="auto"/>
        </w:rPr>
      </w:pPr>
    </w:p>
    <w:p>
      <w:pPr>
        <w:ind w:right="120" w:firstLine="8"/>
        <w:spacing w:after="0" w:line="282" w:lineRule="auto"/>
        <w:tabs>
          <w:tab w:leader="none" w:pos="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7" w:name="page48"/>
    <w:bookmarkEnd w:id="47"/>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2" w:lineRule="exact"/>
        <w:rPr>
          <w:sz w:val="20"/>
          <w:szCs w:val="20"/>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study sites;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study site;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studies;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agencies, after an inspection of our clinical study operations or study sites;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study requirements;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good clinical practices, or GCP, or applicable regulatory guidelines in other countries;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study or return for post-treatment follow-up;</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study sites or patients dropping out of a study;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adverse events associated with the product candidate that are viewed to outweigh its potential benefits;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in connection with our plato platform implementation.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In addition, our CTA (including amendments) for our Phase 1/2 clinical study of AVR-RD-02 for Gaucher disease in Canada, for which Health Canada has issued no objection letters,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there can be no assurance that FDA, Health Canada or other regulatory authorities will not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and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If the results of our clinical studies are inconclusive or if there are safety concerns or adverse events associated with our product candidates, we may:</w:t>
      </w:r>
    </w:p>
    <w:p>
      <w:pPr>
        <w:spacing w:after="0" w:line="117" w:lineRule="exact"/>
        <w:rPr>
          <w:sz w:val="20"/>
          <w:szCs w:val="20"/>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with the way the product is administered;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studies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their approval of the product or impose restrictions on its distribution in the form of a REMS;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and impair our ability to commercialize our products.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Certain of our clinical trials, including the ongoing investigator-sponsored clinical trial of AVR-RD-01, a portion of our Company-sponsored clinical trial of AVR-RD-01, and the investigator-sponsored clinical trial of AVR-RD-04, do not utilize our commercial-scale plato platform. While we have submitted and intend to continue to submit comparability studies to the FDA and other regulatory agencies, as needed, with respect to our transition towards implementing our commercial-scale plato platform, there can be no assurance that the FDA or other regulatory agencies will not in the future require us to conduct additional preclinical studies or clinical trials with respect to these programs or our other product candidates that could result in delays in our development or commercialization programs of our product candidates, if approved, and additional expenses and otherwise could adversely affect our business.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intend to transition towards implementing our commercial-scale plato platform, including heightened vector efficiency, our closed, automated manufacturing system and utilization of a TDM conditioning regimen, in connection with each of our investigational product candidates. We are developing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including for AVR-RD-01, where the ongoing investigator-sponsored clinical trial does not use the plato platform, a portion of our Company-sponsored clinical trial for AVR-RD-01, and for AVR-RD-04 where the planned investigator-sponsored clinical trial will not utilize the plato platform. For example, while we are currently utilizing the LV1 version of the lentiviral vector in the ongoing Phase 1 and Phase 2 clinical trials of AVR-RD-01, we plan to transition our AVR-RD-01 lentiviral vectors to an LV2 version commencing in the fourth quarter of 2019.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t>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which are elements of our plato platform. In addition, our CTA (including amendments) for our planned Phase 1/2 clinical study of AVR-RD-02 for Gaucher disease in Canada, for which Health Canada has issued no objection letters, included data utilizing LV2 and our automated manufacturing platform. Nevertheless, there can be no assurance that the FDA, Health Canada or other regulatory agencies will not in the future require us to conduct additional preclinical studies or clinical trials with respect to these programs or our other product candidates, which may result in delay, suspension or termination of ongoing or future clinical trials.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9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0" w:name="page51"/>
    <w:bookmarkEnd w:id="50"/>
    <w:p>
      <w:pPr>
        <w:ind w:right="40"/>
        <w:spacing w:after="0" w:line="256" w:lineRule="auto"/>
        <w:rPr>
          <w:sz w:val="20"/>
          <w:szCs w:val="20"/>
          <w:color w:val="auto"/>
        </w:rPr>
      </w:pPr>
      <w:r>
        <w:rPr>
          <w:rFonts w:ascii="Times New Roman" w:cs="Times New Roman" w:eastAsia="Times New Roman" w:hAnsi="Times New Roman"/>
          <w:sz w:val="18"/>
          <w:szCs w:val="18"/>
          <w:color w:val="auto"/>
        </w:rPr>
        <w:t>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request orphan drug designation (or the foreign equivalent) for AVR-RD-01 or any of our other product candidates, there can be no assurances that the FDA or foreign regulatory authorities will grant any of our product candidates such designation. In December 2018, the FDA granted our request for orphan drug designation for AVR-RD-01 for the treatment of Fabry disease. In October 2019, the FDA granted our request for orphan drug designation for AVR-RD-02 for the treatment of Gaucher disease. To date, we have not obtained orphan drug designation (or the foreign equivalent) for any other product candidates.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p>
      <w:pPr>
        <w:ind w:right="300"/>
        <w:spacing w:after="0" w:line="258" w:lineRule="auto"/>
        <w:rPr>
          <w:sz w:val="20"/>
          <w:szCs w:val="20"/>
          <w:color w:val="auto"/>
        </w:rPr>
      </w:pPr>
      <w:r>
        <w:rPr>
          <w:rFonts w:ascii="Times New Roman" w:cs="Times New Roman" w:eastAsia="Times New Roman" w:hAnsi="Times New Roman"/>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76" w:lineRule="exact"/>
        <w:rPr>
          <w:sz w:val="20"/>
          <w:szCs w:val="20"/>
          <w:color w:val="auto"/>
        </w:rPr>
      </w:pPr>
    </w:p>
    <w:p>
      <w:pPr>
        <w:ind w:left="900" w:right="76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17" w:lineRule="exact"/>
        <w:rPr>
          <w:rFonts w:ascii="Times New Roman" w:cs="Times New Roman" w:eastAsia="Times New Roman" w:hAnsi="Times New Roman"/>
          <w:sz w:val="18"/>
          <w:szCs w:val="18"/>
          <w:color w:val="auto"/>
        </w:rPr>
      </w:pPr>
    </w:p>
    <w:p>
      <w:pPr>
        <w:ind w:left="900" w:right="52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oversight.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900" w:right="400" w:hanging="379"/>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 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2" w:name="page53"/>
    <w:bookmarkEnd w:id="52"/>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Recently, Amicus has secured regulatory approval in the United States and Europe for Migalastat, its oral therapy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Cystinosis is currently treated by therapies marketed by Horizon Orphan, Mylan, Chiesa, Recordati and Sigma Tau Pharmaceuticals. In addition, we may compete with other gene therapy companies in our industry such as bluebird bio and Spark Therapeutics (which in February 2019 announced that it had entered into an agreement to be acquired by Roche). In particular, a number of gene therapy companies have announced preclinical or clinical adeno-associated virus, or AAV, based gene therapy programs that, if such programs are successful in obtaining regulatory approval, could compete with our gene therapies. These include companies such as Abeona, Amicus, Freeline, Sangamo and uniQure which have announced gene therapy programs for Fabry disease; Freeline and Prevail which have announced gene therapy programs for Gaucher disease; and Abeona, Actus, Amicus, Audentes, Sarepta and Spark Therapeutics which have announced gene therapy programs for Pompe disease.</w:t>
      </w:r>
    </w:p>
    <w:p>
      <w:pPr>
        <w:spacing w:after="0" w:line="19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8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5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As part of our growth strategy, we intend to identify, develop and market additional product candidates beyond our existing product candidates for Fabry disease, Gaucher disease, cystinosis and Pompe disease.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ongoing Phase 1 and Phase 2 clinical trials, we have not yet dosed patients in the AVR-RD-02 clinical trial or evaluated AVR-RD-04 in the recently commenced Phase 1/2 clinical study, nor have we obtained regulatory approval to sell any product based on our therapeutic approaches. Accordingly, our focus on treating these diseases may not result in the development of commercially viable products.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5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third-party supplier.</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interested patients had been identified, we encountered patient pre-screening failures that impacted the commencement of enrollment in these studies.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the product candidates ourselves, including:</w:t>
      </w:r>
    </w:p>
    <w:p>
      <w:pPr>
        <w:spacing w:after="0" w:line="117" w:lineRule="exact"/>
        <w:rPr>
          <w:sz w:val="20"/>
          <w:szCs w:val="20"/>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as a result of using third-party manufacturers for all aspects of manufacturing activities;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 and</w:t>
      </w:r>
    </w:p>
    <w:p>
      <w:pPr>
        <w:spacing w:after="0" w:line="117" w:lineRule="exact"/>
        <w:rPr>
          <w:rFonts w:ascii="Times New Roman" w:cs="Times New Roman" w:eastAsia="Times New Roman" w:hAnsi="Times New Roman"/>
          <w:sz w:val="18"/>
          <w:szCs w:val="18"/>
          <w:color w:val="auto"/>
        </w:rPr>
      </w:pPr>
    </w:p>
    <w:p>
      <w:pPr>
        <w:ind w:left="900" w:right="4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4" w:name="page55"/>
    <w:bookmarkEnd w:id="54"/>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suppliers for some of our components and materials used in our product candidates.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 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5" w:name="page56"/>
    <w:bookmarkEnd w:id="55"/>
    <w:p>
      <w:pPr>
        <w:ind w:right="380"/>
        <w:spacing w:after="0" w:line="282" w:lineRule="auto"/>
        <w:rPr>
          <w:sz w:val="20"/>
          <w:szCs w:val="20"/>
          <w:color w:val="auto"/>
        </w:rPr>
      </w:pPr>
      <w:r>
        <w:rPr>
          <w:rFonts w:ascii="Times New Roman" w:cs="Times New Roman" w:eastAsia="Times New Roman" w:hAnsi="Times New Roman"/>
          <w:sz w:val="18"/>
          <w:szCs w:val="18"/>
          <w:color w:val="auto"/>
        </w:rPr>
        <w:t>Our reliance on these suppliers subjects us to a number of risks that could harm our reputation, business, and financial condition, including, among other things:</w:t>
      </w:r>
    </w:p>
    <w:p>
      <w:pPr>
        <w:spacing w:after="0" w:line="54" w:lineRule="exact"/>
        <w:rPr>
          <w:sz w:val="20"/>
          <w:szCs w:val="20"/>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supplier’s operations;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supplier’s variation in a component;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for key components with our suppliers;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supply in a timely manner, or to obtain adequate supply on commercially reasonable terms;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associated with locating and qualifying alternative suppliers for our components in a timely manner;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from alternative suppliers, and corresponding regulatory qualifications;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our suppliers prioritizing other customer orders over ours;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components produced by our suppliers;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 based upon defects in components produced by our suppliers;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5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9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5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57" w:lineRule="exact"/>
        <w:rPr>
          <w:sz w:val="20"/>
          <w:szCs w:val="20"/>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as demonstrated in pivotal clinical trials and published in peer-reviewed journals;</w:t>
      </w:r>
    </w:p>
    <w:p>
      <w:pPr>
        <w:spacing w:after="0" w:line="117" w:lineRule="exact"/>
        <w:rPr>
          <w:rFonts w:ascii="Times New Roman" w:cs="Times New Roman" w:eastAsia="Times New Roman" w:hAnsi="Times New Roman"/>
          <w:sz w:val="18"/>
          <w:szCs w:val="18"/>
          <w:color w:val="auto"/>
        </w:rPr>
      </w:pPr>
    </w:p>
    <w:p>
      <w:pPr>
        <w:ind w:left="900" w:right="580" w:hanging="379"/>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 or side effects,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resulting from the conditioning regimen for the administration of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the products for sale at competitive prices;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by the FDA or comparable regulatory agencies;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dosing and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distributed;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insurance coverage and sufficient reimbursement.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57" w:name="page58"/>
    <w:bookmarkEnd w:id="57"/>
    <w:p>
      <w:pPr>
        <w:ind w:right="60"/>
        <w:spacing w:after="0" w:line="258"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50" w:lineRule="exact"/>
        <w:rPr>
          <w:sz w:val="20"/>
          <w:szCs w:val="20"/>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and biologics in foreign countries;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right="180" w:hanging="379"/>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900" w:right="440" w:hanging="379"/>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266"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8" w:name="page59"/>
    <w:bookmarkEnd w:id="58"/>
    <w:p>
      <w:pPr>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78" w:lineRule="exact"/>
        <w:rPr>
          <w:sz w:val="20"/>
          <w:szCs w:val="20"/>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9" w:name="page60"/>
    <w:bookmarkEnd w:id="59"/>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7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2010, the Patient Protection and Affordable Care Act or ACA or PPACA,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Since January 2017, the Trump administration has signed two Executive Orders designed to delay the implementation of certain provisions of the ACA or otherwise circumvent some of the requirements for health insurance mandated by the ACA.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more than $12 billion in ACA risk corridor payments asserted to be owed to third-party payors. The effects of this gap in reimbursement on third-party payors, providers, the viability of the ACA marketplace and potentially our business, are not yet known.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Since its enactment, some of the provisions of the ACA have yet to be fully implemented, while certain provisions have been subject to judicial, congressional, or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or pay a penalty, which is commonly known as the “individual mandate.” However, as a result of tax reform legislation passed in December 2017, the Tax Cuts and Jobs Act of 2017, or TCJA, the individual mandate has been eliminated effective January 1, 2019. On December 14, 2018, a U.S. District Court Judge in the Northern District of Texas, or the Texas District Court Judge, ruled that the individual mandate is a critical and inseverable feature of the Affordable Care Act, and therefore, because it was repealed as part of the Tax Cuts and Jobs Act of 2017, the remaining provisions of the Affordable Care Act are invalid as well. The Trump Administration and CMS have both stated that the ruling will have no immediate effect, and on December 30, 2018 the Texas District Court Judge issued an order staying the judgment pending appeal. On July 9, 2019, the U.S. Court of Appeals for the Fifth Circuit held a hearing to determine whether certain states and the House of Representatives have standing to appeal the lower court decision, but it is unclear when the appellate court will render its decision on this hearing, and what effect it will have on the status of the ACA. Litigation and legislation over the ACA are likely to continue, with unpredictable and uncertain results. We will continue to evaluate the effect that the ACA and its possible repeal and replacement has on our business.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2019 contains further drug price control measures that could be enacted in legislation during 2019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Finally, on October 25, 2018, CMS issued an Advanced Notice of Proposed Rulemaking, or ANPRM, and is considering issuing a proposed rule in 2019 on a model called the International Pricing Index, or IPI. This model would utilize a basket of other countries’ prices as a reference for the Medicare program to use in reimbursing for drugs covered under Part B. The ANPRM also included an updated version of the Competitive Acquisition Program, or CAP, as an alternative to current “buy and bill” payment methods for Part B drugs.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1" w:name="page62"/>
    <w:bookmarkEnd w:id="61"/>
    <w:p>
      <w:pPr>
        <w:ind w:right="80"/>
        <w:spacing w:after="0" w:line="266"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drug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9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and key employees, including our Chief Executive Officer, Chief Financial Officer, President of Research and Development, Head of Operations, Chief Science Officer, Chief Business Officer, and General Counsel,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operations and we may experience difficulties in managing this growth, which could disrupt our operations.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2019, we had 73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our performance may suffer.</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3" w:name="page64"/>
    <w:bookmarkEnd w:id="63"/>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29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0" w:lineRule="exact"/>
        <w:rPr>
          <w:sz w:val="20"/>
          <w:szCs w:val="20"/>
          <w:color w:val="auto"/>
        </w:rPr>
      </w:pPr>
    </w:p>
    <w:p>
      <w:pPr>
        <w:ind w:left="900" w:right="100" w:hanging="379"/>
        <w:spacing w:after="0" w:line="254"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4" w:name="page65"/>
    <w:bookmarkEnd w:id="64"/>
    <w:p>
      <w:pPr>
        <w:ind w:left="900" w:right="60" w:hanging="379"/>
        <w:spacing w:after="0" w:line="25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7" w:lineRule="exact"/>
        <w:rPr>
          <w:rFonts w:ascii="Times New Roman" w:cs="Times New Roman" w:eastAsia="Times New Roman" w:hAnsi="Times New Roman"/>
          <w:sz w:val="18"/>
          <w:szCs w:val="18"/>
          <w:color w:val="auto"/>
        </w:rPr>
      </w:pPr>
    </w:p>
    <w:p>
      <w:pPr>
        <w:ind w:left="900" w:right="240" w:hanging="379"/>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1" w:lineRule="exact"/>
        <w:rPr>
          <w:rFonts w:ascii="Times New Roman" w:cs="Times New Roman" w:eastAsia="Times New Roman" w:hAnsi="Times New Roman"/>
          <w:sz w:val="18"/>
          <w:szCs w:val="18"/>
          <w:color w:val="auto"/>
        </w:rPr>
      </w:pPr>
    </w:p>
    <w:p>
      <w:pPr>
        <w:ind w:left="900" w:right="20" w:hanging="379"/>
        <w:spacing w:after="0" w:line="25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1" w:lineRule="exact"/>
        <w:rPr>
          <w:rFonts w:ascii="Times New Roman" w:cs="Times New Roman" w:eastAsia="Times New Roman" w:hAnsi="Times New Roman"/>
          <w:sz w:val="18"/>
          <w:szCs w:val="18"/>
          <w:color w:val="auto"/>
        </w:rPr>
      </w:pPr>
    </w:p>
    <w:p>
      <w:pPr>
        <w:ind w:left="900" w:right="260" w:hanging="379"/>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900" w:right="140" w:hanging="379"/>
        <w:spacing w:after="0" w:line="25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79" w:lineRule="exact"/>
        <w:rPr>
          <w:rFonts w:ascii="Times New Roman" w:cs="Times New Roman" w:eastAsia="Times New Roman" w:hAnsi="Times New Roman"/>
          <w:sz w:val="18"/>
          <w:szCs w:val="18"/>
          <w:color w:val="auto"/>
        </w:rPr>
      </w:pPr>
    </w:p>
    <w:p>
      <w:pPr>
        <w:ind w:left="900" w:right="260" w:hanging="379"/>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 and</w:t>
      </w:r>
    </w:p>
    <w:p>
      <w:pPr>
        <w:spacing w:after="0" w:line="53" w:lineRule="exact"/>
        <w:rPr>
          <w:rFonts w:ascii="Times New Roman" w:cs="Times New Roman" w:eastAsia="Times New Roman" w:hAnsi="Times New Roman"/>
          <w:sz w:val="18"/>
          <w:szCs w:val="18"/>
          <w:color w:val="auto"/>
        </w:rPr>
      </w:pPr>
    </w:p>
    <w:p>
      <w:pPr>
        <w:ind w:left="900" w:right="500" w:hanging="379"/>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5" w:name="page66"/>
    <w:bookmarkEnd w:id="65"/>
    <w:p>
      <w:pPr>
        <w:spacing w:after="0" w:line="254"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8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6" w:name="page67"/>
    <w:bookmarkEnd w:id="66"/>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6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76" w:lineRule="exact"/>
        <w:rPr>
          <w:sz w:val="20"/>
          <w:szCs w:val="20"/>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business reputation;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clinical study participants;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carry master product liability insurance of $5.0 million per occurrence and $5.0 million in the aggregate in the United States. For Canada, we carry product liability insurance of CAD $10.0 million in the aggregate. For Australia, we carry product liability insurance of AUD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7" w:name="page68"/>
    <w:bookmarkEnd w:id="67"/>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are implementing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2018, we had federal and state net operating loss carryforwards of $57.3 million and $54.2 million, respectively, and federal and state research and development tax credit carryforwards of approximately $0.3 million and $0.1 million, respectively.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Under the TCJA, net operating losses generated after December 31, 2017 will not be subject to expiration.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89"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9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0" w:name="page71"/>
    <w:bookmarkEnd w:id="70"/>
    <w:p>
      <w:pPr>
        <w:spacing w:after="0" w:line="254" w:lineRule="auto"/>
        <w:rPr>
          <w:sz w:val="20"/>
          <w:szCs w:val="20"/>
          <w:color w:val="auto"/>
        </w:rPr>
      </w:pPr>
      <w:r>
        <w:rPr>
          <w:rFonts w:ascii="Times New Roman" w:cs="Times New Roman" w:eastAsia="Times New Roman" w:hAnsi="Times New Roman"/>
          <w:sz w:val="18"/>
          <w:szCs w:val="18"/>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1" w:name="page72"/>
    <w:bookmarkEnd w:id="71"/>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the patents and other intellectual property that we own or license.</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8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2" w:name="page73"/>
    <w:bookmarkEnd w:id="72"/>
    <w:p>
      <w:pPr>
        <w:spacing w:after="0" w:line="253" w:lineRule="auto"/>
        <w:rPr>
          <w:sz w:val="20"/>
          <w:szCs w:val="20"/>
          <w:color w:val="auto"/>
        </w:rPr>
      </w:pPr>
      <w:r>
        <w:rPr>
          <w:rFonts w:ascii="Times New Roman" w:cs="Times New Roman" w:eastAsia="Times New Roman" w:hAnsi="Times New Roman"/>
          <w:sz w:val="18"/>
          <w:szCs w:val="18"/>
          <w:color w:val="auto"/>
        </w:rPr>
        <w:t>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w:t>
      </w:r>
    </w:p>
    <w:p>
      <w:pPr>
        <w:spacing w:after="0" w:line="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9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3" w:name="page74"/>
    <w:bookmarkEnd w:id="73"/>
    <w:p>
      <w:pPr>
        <w:ind w:right="40"/>
        <w:spacing w:after="0" w:line="258" w:lineRule="auto"/>
        <w:rPr>
          <w:sz w:val="20"/>
          <w:szCs w:val="20"/>
          <w:color w:val="auto"/>
        </w:rPr>
      </w:pPr>
      <w:r>
        <w:rPr>
          <w:rFonts w:ascii="Times New Roman" w:cs="Times New Roman" w:eastAsia="Times New Roman" w:hAnsi="Times New Roman"/>
          <w:sz w:val="18"/>
          <w:szCs w:val="18"/>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 candidates, our business may be materially harmed.</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9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 pending trademark application with the USPTO for the mark “plato” but do not have trademarks or trademark applications with the USPTO for the marks “AVROBIO”,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right="16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53"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53"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54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or 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900" w:right="54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or may hold rights to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our product candidates may never be protected by patents;</w:t>
      </w:r>
    </w:p>
    <w:p>
      <w:pPr>
        <w:spacing w:after="0" w:line="117"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5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Since our IPO in June 2018, the trading price of our common stock has ranged from $12.46 to $52.70.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72" w:lineRule="exact"/>
        <w:rPr>
          <w:sz w:val="20"/>
          <w:szCs w:val="20"/>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or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other gene therapy products or clinical studies of such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successfully develop and commercialize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our existing strategic collaborations or enter into new collaborations;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and strategic partners to prosecute, maintain or enforce our intellectual property rights;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future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adequate product supply for our product candidates or the inability to do so at acceptable prices;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services or technologies by our competitors;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financial projections we may provide to the public;</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the financial projections of the investment community;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900" w:right="54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partner or our competitors;</w:t>
      </w:r>
    </w:p>
    <w:p>
      <w:pPr>
        <w:spacing w:after="0" w:line="53" w:lineRule="exact"/>
        <w:rPr>
          <w:rFonts w:ascii="Times New Roman" w:cs="Times New Roman" w:eastAsia="Times New Roman" w:hAnsi="Times New Roman"/>
          <w:sz w:val="18"/>
          <w:szCs w:val="18"/>
          <w:color w:val="auto"/>
        </w:rPr>
      </w:pPr>
    </w:p>
    <w:p>
      <w:pPr>
        <w:ind w:left="900" w:right="20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75" w:name="page76"/>
    <w:bookmarkEnd w:id="75"/>
    <w:p>
      <w:pPr>
        <w:spacing w:after="0" w:line="266" w:lineRule="auto"/>
        <w:rPr>
          <w:sz w:val="20"/>
          <w:szCs w:val="20"/>
          <w:color w:val="auto"/>
        </w:rPr>
      </w:pPr>
      <w:r>
        <w:rPr>
          <w:rFonts w:ascii="Times New Roman" w:cs="Times New Roman" w:eastAsia="Times New Roman" w:hAnsi="Times New Roman"/>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in June 2018, or our IPO,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shares outstanding as of November 1, 2019, our executive officers, directors, five percent stockholders and their affiliates beneficially owned approximately 27% of our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6" w:name="page77"/>
    <w:bookmarkEnd w:id="76"/>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1" w:lineRule="exact"/>
        <w:rPr>
          <w:sz w:val="20"/>
          <w:szCs w:val="20"/>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or Section 404;</w:t>
      </w:r>
    </w:p>
    <w:p>
      <w:pPr>
        <w:spacing w:after="0" w:line="117" w:lineRule="exact"/>
        <w:rPr>
          <w:rFonts w:ascii="Times New Roman" w:cs="Times New Roman" w:eastAsia="Times New Roman" w:hAnsi="Times New Roman"/>
          <w:sz w:val="18"/>
          <w:szCs w:val="18"/>
          <w:color w:val="auto"/>
        </w:rPr>
      </w:pPr>
    </w:p>
    <w:p>
      <w:pPr>
        <w:ind w:left="900" w:right="740" w:hanging="379"/>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8" w:lineRule="exact"/>
        <w:rPr>
          <w:rFonts w:ascii="Times New Roman" w:cs="Times New Roman" w:eastAsia="Times New Roman" w:hAnsi="Times New Roman"/>
          <w:sz w:val="18"/>
          <w:szCs w:val="18"/>
          <w:color w:val="auto"/>
        </w:rPr>
      </w:pPr>
    </w:p>
    <w:p>
      <w:pPr>
        <w:ind w:left="900" w:right="40" w:hanging="379"/>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requirement to seek nonbinding advisory votes on executive compensation or golden parachute arrangements.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have taken advantage of reduced reporting burdens in this report. In particular, we have not included in our Form 10-K for the year ended December 31, 2018 or in our 2019 annual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and maintain director and officer liability insurance.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7" w:name="page78"/>
    <w:bookmarkEnd w:id="77"/>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Section 404, we will be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We are required to disclose changes made in our internal controls and procedures on a quarterly basis and our management will be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7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2018, we began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 Although progress has been made to strengthen our controls, as of December 31, 2018, management and our independent registered public accounting firm have concluded that the material weaknesses remain unremediated. In addition, in February 2019, one of our vendors was subject to a cyberattack by a third party, which resulted in the payment by us of a fraudulent invoice.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8" w:name="page79"/>
    <w:bookmarkEnd w:id="78"/>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audit of our consolidated financial statements for the year ended December 31, 2018, we and our independent registered public accounting firm identified a further material weakness in our internal control over financial reporting related to deficiencies in our controls over the financial statement close process. Specifically, there was a lack of controls over the accounting for accrued research and development expenses.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to incur additional costs to remediate these control deficiencies, though there can be no assurance that our efforts will be successful or avoid potential future material weaknesses. Management remains committed to the implementation of remediation efforts to address these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November 1, 2019, holders of an aggregate of approximately 5.6 million shares of our common stock have rights, subject to certain conditions, to require us to file registration statements covering their shares or to include their shares in registration statements that we may file for ourselves or other stockholders. In addition, 3,145,428 shares reserved for issuance upon the exercise of existing stock options outstanding as of September 30, 2019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9" w:name="page80"/>
    <w:bookmarkEnd w:id="79"/>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68" w:lineRule="exact"/>
        <w:rPr>
          <w:sz w:val="20"/>
          <w:szCs w:val="20"/>
          <w:color w:val="auto"/>
        </w:rPr>
      </w:pPr>
    </w:p>
    <w:p>
      <w:pPr>
        <w:ind w:left="900" w:right="180" w:hanging="379"/>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our chief executive officer or our president;</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900" w:right="100" w:hanging="379"/>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900" w:right="220" w:hanging="379"/>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80" w:name="page81"/>
    <w:bookmarkEnd w:id="80"/>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(the “Delaware Forum Provision”). The Delaware Forum Provision will not apply to any causes of action arising under the Securities Act of 1933 or the Securities Exchange Act of 1934.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December 19, 2018, in </w:t>
      </w:r>
      <w:r>
        <w:rPr>
          <w:rFonts w:ascii="Times New Roman" w:cs="Times New Roman" w:eastAsia="Times New Roman" w:hAnsi="Times New Roman"/>
          <w:sz w:val="18"/>
          <w:szCs w:val="18"/>
          <w:i w:val="1"/>
          <w:iCs w:val="1"/>
          <w:color w:val="auto"/>
        </w:rPr>
        <w:t>Sciabacucchi v. Salzberg</w:t>
      </w:r>
      <w:r>
        <w:rPr>
          <w:rFonts w:ascii="Times New Roman" w:cs="Times New Roman" w:eastAsia="Times New Roman" w:hAnsi="Times New Roman"/>
          <w:sz w:val="18"/>
          <w:szCs w:val="18"/>
          <w:color w:val="auto"/>
        </w:rPr>
        <w:t xml:space="preserve">, C.A. No. 2017-0931-JTL (Del. Ch.), the Court of Chancery of the State of Delaware issued a decision declaring that federal forum selection provisions that purport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in </w:t>
      </w:r>
      <w:r>
        <w:rPr>
          <w:rFonts w:ascii="Times New Roman" w:cs="Times New Roman" w:eastAsia="Times New Roman" w:hAnsi="Times New Roman"/>
          <w:sz w:val="18"/>
          <w:szCs w:val="18"/>
          <w:i w:val="1"/>
          <w:iCs w:val="1"/>
          <w:color w:val="auto"/>
        </w:rPr>
        <w:t>Sciabacucchi</w:t>
      </w:r>
      <w:r>
        <w:rPr>
          <w:rFonts w:ascii="Times New Roman" w:cs="Times New Roman" w:eastAsia="Times New Roman" w:hAnsi="Times New Roman"/>
          <w:sz w:val="18"/>
          <w:szCs w:val="18"/>
          <w:color w:val="auto"/>
        </w:rPr>
        <w:t xml:space="preserve"> is reversed by the Delaware Supreme Court or otherwise abrogated, we do not intend to enforce our Federal Forum Provision designating the District of Massachusetts as the exclusive forum for Securities Act claims. In the event that the Delaware Supreme Court affirms the Court of Chancery’s </w:t>
      </w:r>
      <w:r>
        <w:rPr>
          <w:rFonts w:ascii="Times New Roman" w:cs="Times New Roman" w:eastAsia="Times New Roman" w:hAnsi="Times New Roman"/>
          <w:sz w:val="18"/>
          <w:szCs w:val="18"/>
          <w:i w:val="1"/>
          <w:iCs w:val="1"/>
          <w:color w:val="auto"/>
        </w:rPr>
        <w:t>Sciabacucchi</w:t>
      </w:r>
      <w:r>
        <w:rPr>
          <w:rFonts w:ascii="Times New Roman" w:cs="Times New Roman" w:eastAsia="Times New Roman" w:hAnsi="Times New Roman"/>
          <w:sz w:val="18"/>
          <w:szCs w:val="18"/>
          <w:color w:val="auto"/>
        </w:rPr>
        <w:t xml:space="preserve"> decision or otherwise makes a determination that provisions such as the Federal Forum Provision are invalid, our Board of Directors intends to amend promptly our bylaws to remove the Federal Forum Provision. Such amendment could cause us to incur additional costs, which could have an adverse effect on our business, financial condition or results of operations.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1" w:name="page82"/>
    <w:bookmarkEnd w:id="8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and Exercises of Stock Options and Restricted Stock Awards</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July 2019 and August 2019, we granted stock options to two new employees to purchase an aggregate of 163,000 shares of our common stock with an exercise price of $22.57 per share and $18.32 per share, respectively, as a material inducement to acceptance of their employment.</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October 2019, we granted stock options to purchase 98,700 shares of our common stock with an exercise price of $14.21 per share, as a material inducement to the employment of Holly May.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issuance of the securities described above was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 from Initial Public Offering of Common Stock</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June 25, 2018, we completed our initial public offering of 6,035,151 shares of our common stock at a price of $19.00 per share for an aggregate offering price of approximately $114.7 million, including the full exercise of the underwriters’ option to purchase additional shares. Morgan Stanley &amp; Co. LLC, Cowen and Company, LLC, Wells Fargo Securities, LLC and Wedbush Securities Inc. served as the underwriters of the IPO. The offer and sale of all of the shares in the offering were registered under the Securities Act pursuant to a registration statement on Form S-1 (File Nos. 333-225213 and 333-225764), which became effective on June 20, 2018.</w:t>
      </w:r>
    </w:p>
    <w:p>
      <w:pPr>
        <w:spacing w:after="0" w:line="1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received aggregate net proceeds from the offering of approximately $104.0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September 30, 2019, we had used approximately $78.1 million of the net proceeds from the IPO, primarily to fund our current programs in Fabry disease, Gaucher disease, cystinosis, and Pompe disease; our external and internal manufacturing and process development activities related to our programs and to fund research and development activities that relate to all of our clinical and preclinical activities, including the cost of research and development personnel; and general and administrative expenses, working capital and other general corporate purposes. There has been no material change in our planned use of the net proceeds from the offering as described in the final prospectus filed with the SEC pursuant to Rule 424(b) under the Securities Act.</w:t>
      </w:r>
    </w:p>
    <w:p>
      <w:pPr>
        <w:spacing w:after="0" w:line="2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28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120" w:type="dxa"/>
            <w:vAlign w:val="bottom"/>
          </w:tcPr>
          <w:p>
            <w:pPr>
              <w:spacing w:after="0"/>
              <w:rPr>
                <w:sz w:val="24"/>
                <w:szCs w:val="24"/>
                <w:color w:val="auto"/>
              </w:rPr>
            </w:pP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80" w:type="dxa"/>
            <w:vAlign w:val="bottom"/>
            <w:gridSpan w:val="7"/>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8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Fourth Amended and Restated Certificate of Incorporation of the Registrant (filed as Exhibit 3.1 to our Current Report on Form 8-K filed</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on June 25, 2018 and incorporated herein by reference).</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0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Amended and Restated By-laws (filed as Exhibit 3.2 to our Current Report on Form 8-K filed on June 25, 2018 and incorporated herein by</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reference).</w:t>
              </w:r>
            </w:hyperlink>
          </w:p>
        </w:tc>
        <w:tc>
          <w:tcPr>
            <w:tcW w:w="9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hyperlink>
          </w:p>
        </w:tc>
        <w:tc>
          <w:tcPr>
            <w:tcW w:w="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Adopted Pursuant to Section 302 of the Sarbanes-Oxley Act of 2002.</w:t>
              </w:r>
            </w:hyperlink>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Section 906 of the Sarbanes-Oxley Act of 2002.</w:t>
              </w:r>
            </w:hyperlink>
          </w:p>
        </w:tc>
        <w:tc>
          <w:tcPr>
            <w:tcW w:w="6300" w:type="dxa"/>
            <w:vAlign w:val="bottom"/>
            <w:tcBorders>
              <w:top w:val="single" w:sz="8" w:color="0000EE"/>
            </w:tcBorders>
            <w:gridSpan w:val="5"/>
          </w:tcPr>
          <w:p>
            <w:pPr>
              <w:spacing w:after="0"/>
              <w:rPr>
                <w:sz w:val="17"/>
                <w:szCs w:val="17"/>
                <w:color w:val="auto"/>
              </w:rPr>
            </w:pPr>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858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9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the exhibit is being furnished, not filed, with this report.</w:t>
      </w: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83" w:name="page84"/>
    <w:bookmarkEnd w:id="8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AVROBIO, INC.</w:t>
      </w:r>
    </w:p>
    <w:p>
      <w:pPr>
        <w:spacing w:after="0" w:line="279" w:lineRule="exact"/>
        <w:rPr>
          <w:sz w:val="20"/>
          <w:szCs w:val="20"/>
          <w:color w:val="auto"/>
        </w:rPr>
      </w:pPr>
    </w:p>
    <w:p>
      <w:pPr>
        <w:spacing w:after="0"/>
        <w:tabs>
          <w:tab w:leader="none" w:pos="5320" w:val="left"/>
          <w:tab w:leader="none" w:pos="790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Geoff MacKay</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Principal Executive Officer</w:t>
      </w:r>
    </w:p>
    <w:p>
      <w:pPr>
        <w:spacing w:after="0" w:line="283" w:lineRule="exact"/>
        <w:rPr>
          <w:sz w:val="20"/>
          <w:szCs w:val="20"/>
          <w:color w:val="auto"/>
        </w:rPr>
      </w:pPr>
    </w:p>
    <w:p>
      <w:pPr>
        <w:spacing w:after="0"/>
        <w:tabs>
          <w:tab w:leader="none" w:pos="5320" w:val="left"/>
          <w:tab w:leader="none" w:pos="790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Principal Financial and Accounting Officer</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20"/>
          </w:cols>
          <w:pgMar w:left="240" w:top="33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MacKay, certify that:</w:t>
      </w:r>
    </w:p>
    <w:p>
      <w:pPr>
        <w:spacing w:after="0" w:line="117"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AVROBIO,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960" w:val="left"/>
          <w:tab w:leader="none" w:pos="876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26035</wp:posOffset>
            </wp:positionV>
            <wp:extent cx="25298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3"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Geoff MacKay</w:t>
      </w:r>
    </w:p>
    <w:p>
      <w:pPr>
        <w:spacing w:after="0" w:line="31"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117"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Ostrowski, certify that:</w:t>
      </w:r>
    </w:p>
    <w:p>
      <w:pPr>
        <w:spacing w:after="0" w:line="117"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AVROBIO,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960" w:val="left"/>
          <w:tab w:leader="none" w:pos="876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26035</wp:posOffset>
            </wp:positionV>
            <wp:extent cx="25298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3"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31"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117"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AVROBIO, Inc. (the “Company”) on Form 10-Q for the period ending September 30, 2019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68" w:lineRule="exact"/>
        <w:rPr>
          <w:sz w:val="20"/>
          <w:szCs w:val="20"/>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66" w:lineRule="exact"/>
        <w:rPr>
          <w:sz w:val="20"/>
          <w:szCs w:val="20"/>
          <w:color w:val="auto"/>
        </w:rPr>
      </w:pPr>
    </w:p>
    <w:p>
      <w:pPr>
        <w:spacing w:after="0"/>
        <w:tabs>
          <w:tab w:leader="none" w:pos="5340" w:val="left"/>
          <w:tab w:leader="none" w:pos="790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17145</wp:posOffset>
            </wp:positionV>
            <wp:extent cx="36106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2"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Geoff MacKay</w:t>
      </w:r>
    </w:p>
    <w:p>
      <w:pPr>
        <w:spacing w:after="0" w:line="3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47" w:lineRule="exact"/>
        <w:rPr>
          <w:sz w:val="20"/>
          <w:szCs w:val="20"/>
          <w:color w:val="auto"/>
        </w:rPr>
      </w:pPr>
    </w:p>
    <w:p>
      <w:pPr>
        <w:spacing w:after="0"/>
        <w:tabs>
          <w:tab w:leader="none" w:pos="5340" w:val="left"/>
          <w:tab w:leader="none" w:pos="790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17145</wp:posOffset>
            </wp:positionV>
            <wp:extent cx="36106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2"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3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15" Type="http://schemas.openxmlformats.org/officeDocument/2006/relationships/hyperlink" Target="http://www.sec.gov/Archives/edgar/data/1681087/000119312518202460/d153924dex31.htm" TargetMode="External"/><Relationship Id="rId116" Type="http://schemas.openxmlformats.org/officeDocument/2006/relationships/hyperlink" Target="http://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2019-12-28T02:03:14Z</dcterms:created>
  <dcterms:modified xsi:type="dcterms:W3CDTF">2019-12-28T02:03:14Z</dcterms:modified>
</cp:coreProperties>
</file>