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6276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27634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REICIN ALISE</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60" w:type="dxa"/>
            <w:vAlign w:val="bottom"/>
          </w:tcPr>
          <w:p>
            <w:pPr>
              <w:ind w:left="40"/>
              <w:spacing w:after="0"/>
              <w:rPr>
                <w:sz w:val="20"/>
                <w:szCs w:val="20"/>
                <w:color w:val="auto"/>
              </w:rPr>
            </w:pPr>
            <w:r>
              <w:rPr>
                <w:rFonts w:ascii="Arial" w:cs="Arial" w:eastAsia="Arial" w:hAnsi="Arial"/>
                <w:sz w:val="13"/>
                <w:szCs w:val="13"/>
                <w:color w:val="auto"/>
              </w:rPr>
              <w:t>(Last)</w:t>
            </w:r>
          </w:p>
        </w:tc>
        <w:tc>
          <w:tcPr>
            <w:tcW w:w="1220" w:type="dxa"/>
            <w:vAlign w:val="bottom"/>
          </w:tcPr>
          <w:p>
            <w:pPr>
              <w:ind w:left="10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2"/>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 TECTONIC THERAPEUTIC, INC.</w:t>
            </w:r>
          </w:p>
        </w:tc>
      </w:tr>
      <w:tr>
        <w:trPr>
          <w:trHeight w:val="252"/>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490 ARSENAL WAY, SUITE 210</w:t>
            </w:r>
          </w:p>
        </w:tc>
        <w:tc>
          <w:tcPr>
            <w:tcW w:w="560" w:type="dxa"/>
            <w:vAlign w:val="bottom"/>
          </w:tcPr>
          <w:p>
            <w:pPr>
              <w:spacing w:after="0"/>
              <w:rPr>
                <w:sz w:val="21"/>
                <w:szCs w:val="21"/>
                <w:color w:val="auto"/>
              </w:rPr>
            </w:pPr>
          </w:p>
        </w:tc>
      </w:tr>
      <w:tr>
        <w:trPr>
          <w:trHeight w:val="419"/>
        </w:trPr>
        <w:tc>
          <w:tcPr>
            <w:tcW w:w="1160" w:type="dxa"/>
            <w:vAlign w:val="bottom"/>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4"/>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WATERTOWN</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MA</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02472</w:t>
            </w:r>
          </w:p>
        </w:tc>
      </w:tr>
      <w:tr>
        <w:trPr>
          <w:trHeight w:val="456"/>
        </w:trPr>
        <w:tc>
          <w:tcPr>
            <w:tcW w:w="1160" w:type="dxa"/>
            <w:vAlign w:val="bottom"/>
          </w:tcPr>
          <w:p>
            <w:pPr>
              <w:ind w:left="40"/>
              <w:spacing w:after="0"/>
              <w:rPr>
                <w:sz w:val="20"/>
                <w:szCs w:val="20"/>
                <w:color w:val="auto"/>
              </w:rPr>
            </w:pPr>
            <w:r>
              <w:rPr>
                <w:rFonts w:ascii="Arial" w:cs="Arial" w:eastAsia="Arial" w:hAnsi="Arial"/>
                <w:sz w:val="13"/>
                <w:szCs w:val="13"/>
                <w:color w:val="auto"/>
              </w:rPr>
              <w:t>(City)</w:t>
            </w:r>
          </w:p>
        </w:tc>
        <w:tc>
          <w:tcPr>
            <w:tcW w:w="1220" w:type="dxa"/>
            <w:vAlign w:val="bottom"/>
          </w:tcPr>
          <w:p>
            <w:pPr>
              <w:ind w:left="10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Tectonic Therapeutic,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80" w:type="dxa"/>
            <w:vAlign w:val="bottom"/>
            <w:tcBorders>
              <w:top w:val="single" w:sz="8" w:color="0000EE"/>
            </w:tcBorders>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06/20/2024</w:t>
            </w:r>
          </w:p>
        </w:tc>
        <w:tc>
          <w:tcPr>
            <w:tcW w:w="1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18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440"/>
        <w:spacing w:after="0" w:line="28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4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340"/>
              <w:spacing w:after="0"/>
              <w:rPr>
                <w:sz w:val="20"/>
                <w:szCs w:val="20"/>
                <w:color w:val="auto"/>
              </w:rPr>
            </w:pPr>
            <w:r>
              <w:rPr>
                <w:rFonts w:ascii="Arial" w:cs="Arial" w:eastAsia="Arial" w:hAnsi="Arial"/>
                <w:sz w:val="11"/>
                <w:szCs w:val="11"/>
                <w:b w:val="1"/>
                <w:bCs w:val="1"/>
                <w:color w:val="auto"/>
                <w:w w:val="95"/>
              </w:rPr>
              <w:t>(A) or</w:t>
            </w: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06/20/2024</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jc w:val="center"/>
              <w:ind w:right="201"/>
              <w:spacing w:after="0"/>
              <w:rPr>
                <w:sz w:val="20"/>
                <w:szCs w:val="20"/>
                <w:color w:val="auto"/>
              </w:rPr>
            </w:pPr>
            <w:r>
              <w:rPr>
                <w:rFonts w:ascii="Times New Roman" w:cs="Times New Roman" w:eastAsia="Times New Roman" w:hAnsi="Times New Roman"/>
                <w:sz w:val="16"/>
                <w:szCs w:val="16"/>
                <w:color w:val="0000FF"/>
              </w:rPr>
              <w:t>166,580</w:t>
            </w:r>
            <w:r>
              <w:rPr>
                <w:rFonts w:ascii="Times New Roman" w:cs="Times New Roman" w:eastAsia="Times New Roman" w:hAnsi="Times New Roman"/>
                <w:sz w:val="20"/>
                <w:szCs w:val="20"/>
                <w:color w:val="008000"/>
                <w:vertAlign w:val="superscript"/>
              </w:rPr>
              <w:t>(1)</w:t>
            </w:r>
          </w:p>
        </w:tc>
        <w:tc>
          <w:tcPr>
            <w:tcW w:w="2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0"/>
                <w:szCs w:val="10"/>
                <w:color w:val="008000"/>
              </w:rPr>
              <w:t>(2)</w:t>
            </w:r>
          </w:p>
        </w:tc>
        <w:tc>
          <w:tcPr>
            <w:tcW w:w="1280" w:type="dxa"/>
            <w:vAlign w:val="bottom"/>
            <w:tcBorders>
              <w:bottom w:val="single" w:sz="8" w:color="2C2C2C"/>
            </w:tcBorders>
            <w:gridSpan w:val="3"/>
          </w:tcPr>
          <w:p>
            <w:pPr>
              <w:jc w:val="center"/>
              <w:ind w:right="222"/>
              <w:spacing w:after="0"/>
              <w:rPr>
                <w:sz w:val="20"/>
                <w:szCs w:val="20"/>
                <w:color w:val="auto"/>
              </w:rPr>
            </w:pPr>
            <w:r>
              <w:rPr>
                <w:rFonts w:ascii="Times New Roman" w:cs="Times New Roman" w:eastAsia="Times New Roman" w:hAnsi="Times New Roman"/>
                <w:sz w:val="16"/>
                <w:szCs w:val="16"/>
                <w:color w:val="0000FF"/>
              </w:rPr>
              <w:t>166,580</w:t>
            </w:r>
            <w:r>
              <w:rPr>
                <w:rFonts w:ascii="Times New Roman" w:cs="Times New Roman" w:eastAsia="Times New Roman" w:hAnsi="Times New Roman"/>
                <w:sz w:val="20"/>
                <w:szCs w:val="20"/>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0"/>
                <w:szCs w:val="20"/>
                <w:color w:val="auto"/>
              </w:rPr>
            </w:pPr>
          </w:p>
        </w:tc>
        <w:tc>
          <w:tcPr>
            <w:tcW w:w="1840" w:type="dxa"/>
            <w:vAlign w:val="bottom"/>
            <w:gridSpan w:val="3"/>
            <w:vMerge w:val="restart"/>
          </w:tcPr>
          <w:p>
            <w:pPr>
              <w:ind w:left="940"/>
              <w:spacing w:after="0"/>
              <w:rPr>
                <w:sz w:val="20"/>
                <w:szCs w:val="20"/>
                <w:color w:val="auto"/>
              </w:rPr>
            </w:pPr>
            <w:r>
              <w:rPr>
                <w:rFonts w:ascii="Times New Roman" w:cs="Times New Roman" w:eastAsia="Times New Roman" w:hAnsi="Times New Roman"/>
                <w:sz w:val="16"/>
                <w:szCs w:val="16"/>
                <w:color w:val="0000FF"/>
              </w:rPr>
              <w:t>06/20/2024</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6"/>
                <w:szCs w:val="16"/>
                <w:color w:val="0000FF"/>
              </w:rPr>
              <w:t>124,530</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vMerge w:val="restart"/>
          </w:tcPr>
          <w:p>
            <w:pPr>
              <w:jc w:val="right"/>
              <w:ind w:right="96"/>
              <w:spacing w:after="0"/>
              <w:rPr>
                <w:sz w:val="20"/>
                <w:szCs w:val="20"/>
                <w:color w:val="auto"/>
              </w:rPr>
            </w:pPr>
            <w:r>
              <w:rPr>
                <w:rFonts w:ascii="Times New Roman" w:cs="Times New Roman" w:eastAsia="Times New Roman" w:hAnsi="Times New Roman"/>
                <w:sz w:val="10"/>
                <w:szCs w:val="10"/>
                <w:color w:val="008000"/>
              </w:rPr>
              <w:t>(3)</w:t>
            </w:r>
          </w:p>
        </w:tc>
        <w:tc>
          <w:tcPr>
            <w:tcW w:w="1280" w:type="dxa"/>
            <w:vAlign w:val="bottom"/>
            <w:gridSpan w:val="3"/>
            <w:vMerge w:val="restart"/>
          </w:tcPr>
          <w:p>
            <w:pPr>
              <w:jc w:val="right"/>
              <w:ind w:right="302"/>
              <w:spacing w:after="0"/>
              <w:rPr>
                <w:sz w:val="20"/>
                <w:szCs w:val="20"/>
                <w:color w:val="auto"/>
              </w:rPr>
            </w:pPr>
            <w:r>
              <w:rPr>
                <w:rFonts w:ascii="Times New Roman" w:cs="Times New Roman" w:eastAsia="Times New Roman" w:hAnsi="Times New Roman"/>
                <w:sz w:val="16"/>
                <w:szCs w:val="16"/>
                <w:color w:val="0000FF"/>
              </w:rPr>
              <w:t>124,530</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2.38</w:t>
            </w:r>
            <w:r>
              <w:rPr>
                <w:rFonts w:ascii="Times New Roman" w:cs="Times New Roman" w:eastAsia="Times New Roman" w:hAnsi="Times New Roman"/>
                <w:sz w:val="20"/>
                <w:szCs w:val="20"/>
                <w:color w:val="008000"/>
                <w:w w:val="98"/>
                <w:vertAlign w:val="superscript"/>
              </w:rPr>
              <w:t>(5)</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3"/>
              </w:rPr>
              <w:t>33,923</w:t>
            </w:r>
            <w:r>
              <w:rPr>
                <w:rFonts w:ascii="Times New Roman" w:cs="Times New Roman" w:eastAsia="Times New Roman" w:hAnsi="Times New Roman"/>
                <w:sz w:val="20"/>
                <w:szCs w:val="20"/>
                <w:color w:val="008000"/>
                <w:w w:val="93"/>
                <w:vertAlign w:val="superscript"/>
              </w:rPr>
              <w:t>(5)</w:t>
            </w:r>
          </w:p>
        </w:tc>
        <w:tc>
          <w:tcPr>
            <w:tcW w:w="280" w:type="dxa"/>
            <w:vAlign w:val="bottom"/>
          </w:tcPr>
          <w:p>
            <w:pPr>
              <w:spacing w:after="0"/>
              <w:rPr>
                <w:sz w:val="12"/>
                <w:szCs w:val="12"/>
                <w:color w:val="auto"/>
              </w:rPr>
            </w:pPr>
          </w:p>
        </w:tc>
        <w:tc>
          <w:tcPr>
            <w:tcW w:w="80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33,923</w:t>
            </w:r>
            <w:r>
              <w:rPr>
                <w:rFonts w:ascii="Times New Roman" w:cs="Times New Roman" w:eastAsia="Times New Roman" w:hAnsi="Times New Roman"/>
                <w:sz w:val="20"/>
                <w:szCs w:val="20"/>
                <w:color w:val="008000"/>
                <w:w w:val="97"/>
                <w:vertAlign w:val="superscript"/>
              </w:rPr>
              <w:t>(5)</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(5)(7)</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06/20/2024</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06/27/2031</w:t>
            </w:r>
          </w:p>
        </w:tc>
        <w:tc>
          <w:tcPr>
            <w:tcW w:w="6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33,923</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w w:val="87"/>
              </w:rPr>
              <w:t>Stock</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5.38</w:t>
            </w:r>
            <w:r>
              <w:rPr>
                <w:rFonts w:ascii="Times New Roman" w:cs="Times New Roman" w:eastAsia="Times New Roman" w:hAnsi="Times New Roman"/>
                <w:sz w:val="20"/>
                <w:szCs w:val="20"/>
                <w:color w:val="008000"/>
                <w:w w:val="98"/>
                <w:vertAlign w:val="superscript"/>
              </w:rPr>
              <w:t>(5)</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3"/>
              </w:rPr>
              <w:t>23,380</w:t>
            </w:r>
            <w:r>
              <w:rPr>
                <w:rFonts w:ascii="Times New Roman" w:cs="Times New Roman" w:eastAsia="Times New Roman" w:hAnsi="Times New Roman"/>
                <w:sz w:val="20"/>
                <w:szCs w:val="20"/>
                <w:color w:val="008000"/>
                <w:w w:val="93"/>
                <w:vertAlign w:val="superscript"/>
              </w:rPr>
              <w:t>(5)</w:t>
            </w:r>
          </w:p>
        </w:tc>
        <w:tc>
          <w:tcPr>
            <w:tcW w:w="280" w:type="dxa"/>
            <w:vAlign w:val="bottom"/>
          </w:tcPr>
          <w:p>
            <w:pPr>
              <w:spacing w:after="0"/>
              <w:rPr>
                <w:sz w:val="12"/>
                <w:szCs w:val="12"/>
                <w:color w:val="auto"/>
              </w:rPr>
            </w:pPr>
          </w:p>
        </w:tc>
        <w:tc>
          <w:tcPr>
            <w:tcW w:w="80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23,380</w:t>
            </w:r>
            <w:r>
              <w:rPr>
                <w:rFonts w:ascii="Times New Roman" w:cs="Times New Roman" w:eastAsia="Times New Roman" w:hAnsi="Times New Roman"/>
                <w:sz w:val="20"/>
                <w:szCs w:val="20"/>
                <w:color w:val="008000"/>
                <w:w w:val="97"/>
                <w:vertAlign w:val="superscript"/>
              </w:rPr>
              <w:t>(5)</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(5)(9)</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06/20/2024</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11/30/2033</w:t>
            </w:r>
          </w:p>
        </w:tc>
        <w:tc>
          <w:tcPr>
            <w:tcW w:w="6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23,380</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w w:val="87"/>
              </w:rPr>
              <w:t>Stock</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0"/>
                <w:szCs w:val="10"/>
                <w:color w:val="008000"/>
                <w:w w:val="95"/>
              </w:rPr>
              <w:t>(10)</w:t>
            </w:r>
          </w:p>
        </w:tc>
        <w:tc>
          <w:tcPr>
            <w:tcW w:w="66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289,600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16.8</w:t>
            </w:r>
          </w:p>
        </w:tc>
        <w:tc>
          <w:tcPr>
            <w:tcW w:w="10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06/20/2024</w:t>
            </w: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14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289,600</w:t>
            </w:r>
          </w:p>
        </w:tc>
        <w:tc>
          <w:tcPr>
            <w:tcW w:w="2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6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06/19/2034</w:t>
            </w:r>
          </w:p>
        </w:tc>
        <w:tc>
          <w:tcPr>
            <w:tcW w:w="6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289,600</w:t>
            </w: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w w:val="87"/>
              </w:rPr>
              <w:t>Stock</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42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shares are subject to vesting and a repurchase right in favor of the Issuer, as follows: (i) 2,256 shares on July 10, 2024, (ii) 2,256 shares on August 10, 2024, (iii) 2,781 shares on November 30, 2024, and (iv) 4,079 shares on December 31, 2024, subject to the Reporting Person's continued service to the Issuer on each such vesting date.</w:t>
      </w:r>
    </w:p>
    <w:p>
      <w:pPr>
        <w:spacing w:after="0" w:line="21" w:lineRule="exact"/>
        <w:rPr>
          <w:rFonts w:ascii="Times New Roman" w:cs="Times New Roman" w:eastAsia="Times New Roman" w:hAnsi="Times New Roman"/>
          <w:sz w:val="13"/>
          <w:szCs w:val="13"/>
          <w:color w:val="008000"/>
        </w:rPr>
      </w:pPr>
    </w:p>
    <w:p>
      <w:pPr>
        <w:ind w:left="40" w:right="140" w:hanging="1"/>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311,703 shares of common stock of Tectonic Therapeutic, Inc., a Delaware corporation ("Tectonic"), pursuant to an Agreement and Plan of Merger dated as of January 30, 2024 (the "Merger Agreement") by and among AVROBIO, Inc., a Delaware corporation ("AVROBIO"), Tectonic and Alpine Merger Subsidiary, Inc., a direct, wholly owned subsidiary of AVROBIO (the "Merger Sub"). Under the terms of the Merger Agreement, on June 20, 2024, Merger Sub merged with and into Tectonic (the "Merger"), with Tectonic surviving the Merger as a wholly owned subsidiary of AVROBIO. Upon the closing of the Merger, each share of Tectonic common stock was converted into the right to receive 0.534419990 shares of the Issuer's common stock, after giving effect to a reverse stock split of the Issuer's common stock of 1-for-12. Subsequent to the Merger, the name of the Issuer was changed from AVROBIO, Inc. to Tectonic Therapeutic, Inc.</w:t>
      </w:r>
    </w:p>
    <w:p>
      <w:pPr>
        <w:spacing w:after="0" w:line="27"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233,019 shares of common stock of Tectonic on the same terms and conditions as set forth in footnote (2) herein.</w:t>
      </w:r>
    </w:p>
    <w:p>
      <w:pPr>
        <w:spacing w:after="0" w:line="39" w:lineRule="exact"/>
        <w:rPr>
          <w:rFonts w:ascii="Times New Roman" w:cs="Times New Roman" w:eastAsia="Times New Roman" w:hAnsi="Times New Roman"/>
          <w:sz w:val="13"/>
          <w:szCs w:val="13"/>
          <w:color w:val="008000"/>
        </w:rPr>
      </w:pPr>
    </w:p>
    <w:p>
      <w:pPr>
        <w:ind w:left="40" w:right="280" w:hanging="1"/>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Reicin-Boiarsky Family Trust (the "Trust"). The Reporting Person's spouse is a co-trustee of the Trust. Accordingly, the Reporting Person may be deemed to have shared voting and dispositive power over the securities held by the Trust. The Reporting Person disclaims beneficial ownership of the shares held by the Trust except to the extent of her pecuniary interest therein, and this report shall not be deemed an admission that the Reporting Person is the beneficial owner of these securities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left="40" w:right="26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closing of the Merger, each outstanding option to purchase shares of Tectonic common stock was assumed by the Issuer and converted into an option to purchase the Issuer's common stock, on the same terms and conditions as were applicable to such Tectonic stock option prior to the Merger, as adjusted for the exchange ratio and the reverse stock split.</w:t>
      </w:r>
    </w:p>
    <w:p>
      <w:pPr>
        <w:spacing w:after="0" w:line="21" w:lineRule="exact"/>
        <w:rPr>
          <w:rFonts w:ascii="Times New Roman" w:cs="Times New Roman" w:eastAsia="Times New Roman" w:hAnsi="Times New Roman"/>
          <w:sz w:val="13"/>
          <w:szCs w:val="13"/>
          <w:color w:val="008000"/>
        </w:rPr>
      </w:pPr>
    </w:p>
    <w:p>
      <w:pPr>
        <w:ind w:left="40" w:right="460" w:hanging="1"/>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as follows: (i) 4,079 shares on June 30, 2024; (ii) 4,078 shares on July 31, 2024, (iii) 4,078 shares on August 31, 2024, (iv) 4,079 shares on September 30, 2024, (v) 4,078 shares on October 31, 2024, (vi) 1,297 shares on November 30, 2024, (vii) 4,078 shares on January 31, 2025, (viii) 4,078 shares on February 28, 2025 and (iv) 4,078 shares on March 31, 2025, subject to the Reporting Person's continued service to the Issuer on each such vesting date.</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63,478 shares of Tectonic common stock pursuant to the Merger Agreement.</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42 equal monthly installments beginning on July 1, 2024, subject to the Reporting Person's continued service to the Issuer on each such vesting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43,750 shares of Tectonic common stock pursuant to the Merger Agreement.</w:t>
      </w:r>
    </w:p>
    <w:p>
      <w:pPr>
        <w:spacing w:after="0" w:line="39" w:lineRule="exact"/>
        <w:rPr>
          <w:rFonts w:ascii="Times New Roman" w:cs="Times New Roman" w:eastAsia="Times New Roman" w:hAnsi="Times New Roman"/>
          <w:sz w:val="13"/>
          <w:szCs w:val="13"/>
          <w:color w:val="008000"/>
        </w:rPr>
      </w:pPr>
    </w:p>
    <w:p>
      <w:pPr>
        <w:ind w:left="40" w:right="360" w:hanging="1"/>
        <w:spacing w:after="0" w:line="243" w:lineRule="auto"/>
        <w:tabs>
          <w:tab w:leader="none" w:pos="2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as to 25% of the shares on June 20, 2025 with the remainder vesting in the following 36 equal monthly installments, subject to the Reporting Person's continued service on each such vesting date.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Daniel Lochner, Attorney-in- </w:t>
      </w:r>
      <w:r>
        <w:rPr>
          <w:rFonts w:ascii="Times New Roman" w:cs="Times New Roman" w:eastAsia="Times New Roman" w:hAnsi="Times New Roman"/>
          <w:sz w:val="31"/>
          <w:szCs w:val="31"/>
          <w:color w:val="0000FF"/>
          <w:vertAlign w:val="subscript"/>
        </w:rPr>
        <w:t>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79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-79375</wp:posOffset>
            </wp:positionV>
            <wp:extent cx="47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1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57533"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2024-06-24T15:27:42Z</dcterms:created>
  <dcterms:modified xsi:type="dcterms:W3CDTF">2024-06-24T15:27:42Z</dcterms:modified>
</cp:coreProperties>
</file>